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 w:after="160"/>
        <w:jc w:val="center"/>
      </w:pPr>
      <w:r>
        <w:drawing>
          <wp:inline xmlns:a="http://schemas.openxmlformats.org/drawingml/2006/main" xmlns:pic="http://schemas.openxmlformats.org/drawingml/2006/picture">
            <wp:extent cx="1572768" cy="1184313"/>
            <wp:docPr id="1" name="Picture 1" descr="East Aviation logo" title="East Aviation"/>
            <wp:cNvGraphicFramePr>
              <a:graphicFrameLocks noChangeAspect="1"/>
            </wp:cNvGraphicFramePr>
            <a:graphic>
              <a:graphicData uri="http://schemas.openxmlformats.org/drawingml/2006/picture">
                <pic:pic>
                  <pic:nvPicPr>
                    <pic:cNvPr id="0" name="Logo Square(1).png"/>
                    <pic:cNvPicPr/>
                  </pic:nvPicPr>
                  <pic:blipFill>
                    <a:blip r:embed="rId11"/>
                    <a:stretch>
                      <a:fillRect/>
                    </a:stretch>
                  </pic:blipFill>
                  <pic:spPr>
                    <a:xfrm>
                      <a:off x="0" y="0"/>
                      <a:ext cx="1572768" cy="1184313"/>
                    </a:xfrm>
                    <a:prstGeom prst="rect"/>
                  </pic:spPr>
                </pic:pic>
              </a:graphicData>
            </a:graphic>
          </wp:inline>
        </w:drawing>
      </w:r>
    </w:p>
    <w:p>
      <w:pPr>
        <w:spacing w:before="40" w:after="40"/>
      </w:pPr>
      <w:r>
        <w:rPr>
          <w:rFonts w:ascii="Aptos" w:hAnsi="Aptos"/>
          <w:b/>
          <w:i w:val="0"/>
          <w:color w:val="C7922B"/>
          <w:sz w:val="20"/>
        </w:rPr>
        <w:t>CUSTOMER GUIDE</w:t>
      </w:r>
    </w:p>
    <w:p>
      <w:pPr>
        <w:pStyle w:val="Title"/>
      </w:pPr>
      <w:r>
        <w:rPr>
          <w:rFonts w:ascii="Aptos Display" w:hAnsi="Aptos Display"/>
          <w:b/>
          <w:i w:val="0"/>
          <w:color w:val="13304A"/>
          <w:sz w:val="58"/>
        </w:rPr>
        <w:t>Using 529 Account Funds</w:t>
        <w:br/>
        <w:t>for Flight Training</w:t>
      </w:r>
    </w:p>
    <w:p>
      <w:pPr>
        <w:spacing w:after="260"/>
      </w:pPr>
      <w:r>
        <w:rPr>
          <w:rFonts w:ascii="Aptos" w:hAnsi="Aptos"/>
          <w:b w:val="0"/>
          <w:i w:val="0"/>
          <w:color w:val="5A6770"/>
          <w:sz w:val="26"/>
        </w:rPr>
        <w:t>A plain-English guide for students, families, 529 account owners, and tax professionals</w:t>
      </w:r>
    </w:p>
    <w:p>
      <w:pPr>
        <w:keepLines/>
        <w:spacing w:before="60" w:after="160" w:line="276" w:lineRule="auto"/>
        <w:shd w:fill="DCECF4"/>
        <w:pBdr>
          <w:top w:val="single" w:sz="7" w:space="5" w:color="1E5A7A"/>
          <w:left w:val="single" w:sz="7" w:space="5" w:color="1E5A7A"/>
          <w:bottom w:val="single" w:sz="7" w:space="5" w:color="1E5A7A"/>
          <w:right w:val="single" w:sz="7" w:space="5" w:color="1E5A7A"/>
        </w:pBdr>
        <w:ind w:left="170" w:right="170"/>
      </w:pPr>
      <w:r>
        <w:rPr>
          <w:rFonts w:ascii="Aptos" w:hAnsi="Aptos"/>
          <w:b/>
          <w:i w:val="0"/>
          <w:color w:val="1E5A7A"/>
          <w:sz w:val="18"/>
        </w:rPr>
        <w:t>THE SHORT ANSWER</w:t>
        <w:br/>
      </w:r>
      <w:r>
        <w:rPr>
          <w:rFonts w:ascii="Aptos" w:hAnsi="Aptos"/>
          <w:b w:val="0"/>
          <w:i w:val="0"/>
          <w:color w:val="20282E"/>
          <w:sz w:val="20"/>
        </w:rPr>
        <w:t>Federal law now allows tax-free 529 distributions for certain postsecondary credential programs. Career-oriented FAA pilot certificates and ratings may qualify when both the credential and the training program meet the law’s tests. The expansion does not make every flight lesson, aircraft rental, discovery flight, or recreational activity automatically eligible.</w:t>
      </w:r>
    </w:p>
    <w:p>
      <w:pPr>
        <w:pStyle w:val="Heading1"/>
      </w:pPr>
      <w:r>
        <w:t>What changed</w:t>
      </w:r>
    </w:p>
    <w:p>
      <w:r>
        <w:rPr>
          <w:rFonts w:ascii="Aptos" w:hAnsi="Aptos"/>
          <w:b w:val="0"/>
          <w:i w:val="0"/>
          <w:color w:val="20282E"/>
          <w:sz w:val="21"/>
        </w:rPr>
        <w:t>Public Law 119-21, commonly called the One Big Beautiful Bill Act, added “qualified postsecondary credentialing expenses” to the expenses that may be paid with 529 funds. Section 70414 applies to distributions made after July 4, 2025, the date the law was enacted.</w:t>
      </w:r>
    </w:p>
    <w:p>
      <w:r>
        <w:rPr>
          <w:rFonts w:ascii="Aptos" w:hAnsi="Aptos"/>
          <w:b/>
          <w:i w:val="0"/>
          <w:color w:val="13304A"/>
          <w:sz w:val="21"/>
        </w:rPr>
        <w:t>The law creates two separate eligibility questions:</w:t>
      </w:r>
    </w:p>
    <w:p>
      <w:pPr>
        <w:pStyle w:val="GuideBullet"/>
        <w:ind w:left="547" w:hanging="274"/>
        <w:numPr>
          <w:ilvl w:val="0"/>
          <w:numId w:val="10"/>
        </w:numPr>
      </w:pPr>
      <w:r>
        <w:rPr>
          <w:rFonts w:ascii="Aptos" w:hAnsi="Aptos"/>
          <w:b w:val="0"/>
          <w:i w:val="0"/>
          <w:color w:val="20282E"/>
          <w:sz w:val="21"/>
        </w:rPr>
        <w:t>Is the FAA certificate, rating, or other goal a “recognized postsecondary credential”?</w:t>
      </w:r>
    </w:p>
    <w:p>
      <w:pPr>
        <w:pStyle w:val="GuideBullet"/>
        <w:ind w:left="547" w:hanging="274"/>
        <w:numPr>
          <w:ilvl w:val="0"/>
          <w:numId w:val="10"/>
        </w:numPr>
      </w:pPr>
      <w:r>
        <w:rPr>
          <w:rFonts w:ascii="Aptos" w:hAnsi="Aptos"/>
          <w:b w:val="0"/>
          <w:i w:val="0"/>
          <w:color w:val="20282E"/>
          <w:sz w:val="21"/>
        </w:rPr>
        <w:t>Is the specific course of flight training a “recognized postsecondary credential program”?</w:t>
      </w:r>
    </w:p>
    <w:p>
      <w:pPr>
        <w:keepLines/>
        <w:spacing w:before="60" w:after="160" w:line="276" w:lineRule="auto"/>
        <w:shd w:fill="FFF5DC"/>
        <w:pBdr>
          <w:top w:val="single" w:sz="7" w:space="5" w:color="8D2B2B"/>
          <w:left w:val="single" w:sz="7" w:space="5" w:color="8D2B2B"/>
          <w:bottom w:val="single" w:sz="7" w:space="5" w:color="8D2B2B"/>
          <w:right w:val="single" w:sz="7" w:space="5" w:color="8D2B2B"/>
        </w:pBdr>
        <w:ind w:left="170" w:right="170"/>
      </w:pPr>
      <w:r>
        <w:rPr>
          <w:rFonts w:ascii="Aptos" w:hAnsi="Aptos"/>
          <w:b/>
          <w:i w:val="0"/>
          <w:color w:val="8D2B2B"/>
          <w:sz w:val="18"/>
        </w:rPr>
        <w:t>IMPORTANT</w:t>
        <w:br/>
      </w:r>
      <w:r>
        <w:rPr>
          <w:rFonts w:ascii="Aptos" w:hAnsi="Aptos"/>
          <w:b w:val="0"/>
          <w:i w:val="0"/>
          <w:color w:val="20282E"/>
          <w:sz w:val="20"/>
        </w:rPr>
        <w:t>A federally issued credential is not enough by itself. The training program must also qualify under at least one of the four program pathways in the law. Customers should obtain written support for both parts before requesting a distribution.</w:t>
      </w:r>
    </w:p>
    <w:p>
      <w:pPr>
        <w:pStyle w:val="Heading1"/>
      </w:pPr>
      <w:r>
        <w:t>How the rule may apply to FAA flight training</w:t>
      </w:r>
    </w:p>
    <w:p>
      <w:r>
        <w:rPr>
          <w:rFonts w:ascii="Aptos" w:hAnsi="Aptos"/>
          <w:b w:val="0"/>
          <w:i w:val="0"/>
          <w:color w:val="20282E"/>
          <w:sz w:val="21"/>
        </w:rPr>
        <w:t>The statute includes occupational or professional licenses issued or recognized by the federal government, plus certifications that satisfy a condition for obtaining such a license. FAA certificates and ratings are issued under federal aviation regulations, and the FAA requires specified training, endorsements, knowledge tests, practical tests, and aeronautical experience for many credentials.</w:t>
      </w:r>
    </w:p>
    <w:p>
      <w:r>
        <w:rPr>
          <w:rFonts w:ascii="Aptos" w:hAnsi="Aptos"/>
          <w:b/>
          <w:i w:val="0"/>
          <w:color w:val="13304A"/>
          <w:sz w:val="21"/>
        </w:rPr>
        <w:t>Practical interpretation for customers:</w:t>
      </w:r>
    </w:p>
    <w:p>
      <w:pPr>
        <w:pStyle w:val="GuideBullet"/>
        <w:ind w:left="547" w:hanging="274"/>
        <w:numPr>
          <w:ilvl w:val="0"/>
          <w:numId w:val="10"/>
        </w:numPr>
      </w:pPr>
      <w:r>
        <w:rPr>
          <w:rFonts w:ascii="Aptos" w:hAnsi="Aptos"/>
          <w:b w:val="0"/>
          <w:i w:val="0"/>
          <w:color w:val="20282E"/>
          <w:sz w:val="21"/>
        </w:rPr>
        <w:t>Commercial Pilot, Flight Instructor, Airline Transport Pilot, and professionally used ratings have the clearest occupational connection.</w:t>
      </w:r>
    </w:p>
    <w:p>
      <w:pPr>
        <w:pStyle w:val="GuideBullet"/>
        <w:ind w:left="547" w:hanging="274"/>
        <w:numPr>
          <w:ilvl w:val="0"/>
          <w:numId w:val="10"/>
        </w:numPr>
      </w:pPr>
      <w:r>
        <w:rPr>
          <w:rFonts w:ascii="Aptos" w:hAnsi="Aptos"/>
          <w:b w:val="0"/>
          <w:i w:val="0"/>
          <w:color w:val="20282E"/>
          <w:sz w:val="21"/>
        </w:rPr>
        <w:t>Instrument and additional category/class ratings may fit when they are part of a documented professional credential pathway and the applicable program test is satisfied.</w:t>
      </w:r>
    </w:p>
    <w:p>
      <w:pPr>
        <w:pStyle w:val="GuideBullet"/>
        <w:ind w:left="547" w:hanging="274"/>
        <w:numPr>
          <w:ilvl w:val="0"/>
          <w:numId w:val="10"/>
        </w:numPr>
      </w:pPr>
      <w:r>
        <w:rPr>
          <w:rFonts w:ascii="Aptos" w:hAnsi="Aptos"/>
          <w:b w:val="0"/>
          <w:i w:val="0"/>
          <w:color w:val="20282E"/>
          <w:sz w:val="21"/>
        </w:rPr>
        <w:t>Private Pilot training may have a stronger basis when it is documented as the required first stage of a career pathway: 14 CFR 61.123 requires a commercial-pilot applicant to hold at least a private pilot certificate.</w:t>
      </w:r>
    </w:p>
    <w:p>
      <w:pPr>
        <w:pStyle w:val="GuideBullet"/>
        <w:ind w:left="547" w:hanging="274"/>
        <w:numPr>
          <w:ilvl w:val="0"/>
          <w:numId w:val="10"/>
        </w:numPr>
      </w:pPr>
      <w:r>
        <w:rPr>
          <w:rFonts w:ascii="Aptos" w:hAnsi="Aptos"/>
          <w:b w:val="0"/>
          <w:i w:val="0"/>
          <w:color w:val="20282E"/>
          <w:sz w:val="21"/>
        </w:rPr>
        <w:t>A standalone recreational Private Pilot course is less certain because the statutory category is occupational or professional. Obtain individualized tax advice before using 529 funds for a recreational-only goal.</w:t>
      </w:r>
    </w:p>
    <w:p>
      <w:pPr>
        <w:keepLines/>
        <w:spacing w:before="60" w:after="160" w:line="276" w:lineRule="auto"/>
        <w:shd w:fill="F3F6F8"/>
        <w:pBdr>
          <w:top w:val="single" w:sz="7" w:space="5" w:color="5A6770"/>
          <w:left w:val="single" w:sz="7" w:space="5" w:color="5A6770"/>
          <w:bottom w:val="single" w:sz="7" w:space="5" w:color="5A6770"/>
          <w:right w:val="single" w:sz="7" w:space="5" w:color="5A6770"/>
        </w:pBdr>
        <w:ind w:left="170" w:right="170"/>
      </w:pPr>
      <w:r>
        <w:rPr>
          <w:rFonts w:ascii="Aptos" w:hAnsi="Aptos"/>
          <w:b/>
          <w:i w:val="0"/>
          <w:color w:val="5A6770"/>
          <w:sz w:val="18"/>
        </w:rPr>
        <w:t>NO FLIGHT-TRAINING-SPECIFIC IRS RULING YET</w:t>
        <w:br/>
      </w:r>
      <w:r>
        <w:rPr>
          <w:rFonts w:ascii="Aptos" w:hAnsi="Aptos"/>
          <w:b w:val="0"/>
          <w:i w:val="0"/>
          <w:color w:val="20282E"/>
          <w:sz w:val="20"/>
        </w:rPr>
        <w:t>Neither Section 70414 nor the current IRS Publication 970 expressly names pilot training. This guide applies the statute and current IRS guidance to FAA training, but it cannot guarantee how the IRS, a state taxing authority, or an individual 529 plan will treat a particular expense.</w:t>
      </w:r>
    </w:p>
    <w:p>
      <w:pPr>
        <w:pStyle w:val="Heading1"/>
      </w:pPr>
      <w:r>
        <w:t>The four ways a flight-training program can qualify</w:t>
      </w:r>
    </w:p>
    <w:p>
      <w:r>
        <w:rPr>
          <w:rFonts w:ascii="Aptos" w:hAnsi="Aptos"/>
          <w:b w:val="0"/>
          <w:i w:val="0"/>
          <w:color w:val="20282E"/>
          <w:sz w:val="21"/>
        </w:rPr>
        <w:t>A program leading to a recognized credential must meet at least one of these pathways:</w:t>
      </w:r>
    </w:p>
    <w:tbl>
      <w:tblPr>
        <w:tblW w:type="dxa" w:w="9360"/>
        <w:jc w:val="left"/>
        <w:tblLayout w:type="fixed"/>
        <w:tblLook w:firstColumn="1" w:firstRow="1" w:lastColumn="0" w:lastRow="0" w:noHBand="0" w:noVBand="1" w:val="04A0"/>
        <w:tblInd w:w="120" w:type="dxa"/>
      </w:tblPr>
      <w:tblGrid>
        <w:gridCol w:w="648"/>
        <w:gridCol w:w="2160"/>
        <w:gridCol w:w="6552"/>
      </w:tblGrid>
      <w:tr>
        <w:trPr>
          <w:tblHeader w:val="true"/>
          <w:cantSplit/>
        </w:trPr>
        <w:tc>
          <w:tcPr>
            <w:tcW w:type="dxa" w:w="648"/>
            <w:tcMar>
              <w:top w:w="80" w:type="dxa"/>
              <w:start w:w="120" w:type="dxa"/>
              <w:bottom w:w="80" w:type="dxa"/>
              <w:end w:w="120" w:type="dxa"/>
            </w:tcMar>
            <w:vAlign w:val="center"/>
            <w:shd w:fill="13304A"/>
          </w:tcPr>
          <w:p>
            <w:pPr>
              <w:spacing w:after="0" w:line="259" w:lineRule="auto"/>
            </w:pPr>
            <w:r/>
            <w:r>
              <w:rPr>
                <w:rFonts w:ascii="Aptos" w:hAnsi="Aptos"/>
                <w:b/>
                <w:i w:val="0"/>
                <w:color w:val="FFFFFF"/>
                <w:sz w:val="18"/>
              </w:rPr>
            </w:r>
          </w:p>
        </w:tc>
        <w:tc>
          <w:tcPr>
            <w:tcW w:type="dxa" w:w="2160"/>
            <w:tcMar>
              <w:top w:w="80" w:type="dxa"/>
              <w:start w:w="120" w:type="dxa"/>
              <w:bottom w:w="80" w:type="dxa"/>
              <w:end w:w="120" w:type="dxa"/>
            </w:tcMar>
            <w:vAlign w:val="center"/>
            <w:shd w:fill="13304A"/>
          </w:tcPr>
          <w:p>
            <w:pPr>
              <w:spacing w:after="0" w:line="259" w:lineRule="auto"/>
            </w:pPr>
            <w:r/>
            <w:r>
              <w:rPr>
                <w:rFonts w:ascii="Aptos" w:hAnsi="Aptos"/>
                <w:b/>
                <w:i w:val="0"/>
                <w:color w:val="FFFFFF"/>
                <w:sz w:val="18"/>
              </w:rPr>
              <w:t>Qualification path</w:t>
            </w:r>
          </w:p>
        </w:tc>
        <w:tc>
          <w:tcPr>
            <w:tcW w:type="dxa" w:w="6552"/>
            <w:tcMar>
              <w:top w:w="80" w:type="dxa"/>
              <w:start w:w="120" w:type="dxa"/>
              <w:bottom w:w="80" w:type="dxa"/>
              <w:end w:w="120" w:type="dxa"/>
            </w:tcMar>
            <w:vAlign w:val="center"/>
            <w:shd w:fill="13304A"/>
          </w:tcPr>
          <w:p>
            <w:pPr>
              <w:spacing w:after="0" w:line="259" w:lineRule="auto"/>
            </w:pPr>
            <w:r/>
            <w:r>
              <w:rPr>
                <w:rFonts w:ascii="Aptos" w:hAnsi="Aptos"/>
                <w:b/>
                <w:i w:val="0"/>
                <w:color w:val="FFFFFF"/>
                <w:sz w:val="18"/>
              </w:rPr>
              <w:t>What the law requires</w:t>
            </w:r>
          </w:p>
        </w:tc>
      </w:tr>
      <w:tr>
        <w:trPr>
          <w:cantSplit/>
        </w:trPr>
        <w:tc>
          <w:tcPr>
            <w:tcW w:type="dxa" w:w="648"/>
          </w:tcPr>
          <w:p>
            <w:pPr>
              <w:spacing w:after="0" w:line="259" w:lineRule="auto"/>
              <w:jc w:val="center"/>
            </w:pPr>
            <w:r/>
            <w:r>
              <w:rPr>
                <w:rFonts w:ascii="Aptos" w:hAnsi="Aptos"/>
                <w:b/>
                <w:i w:val="0"/>
                <w:color w:val="C7922B"/>
                <w:sz w:val="20"/>
              </w:rPr>
              <w:t>1</w:t>
            </w:r>
          </w:p>
        </w:tc>
        <w:tc>
          <w:tcPr>
            <w:tcW w:type="dxa" w:w="2160"/>
          </w:tcPr>
          <w:p>
            <w:pPr>
              <w:spacing w:after="0" w:line="259" w:lineRule="auto"/>
            </w:pPr>
            <w:r/>
            <w:r>
              <w:rPr>
                <w:rFonts w:ascii="Aptos" w:hAnsi="Aptos"/>
                <w:b/>
                <w:i w:val="0"/>
                <w:color w:val="13304A"/>
                <w:sz w:val="18"/>
              </w:rPr>
              <w:t>State workforce list</w:t>
            </w:r>
          </w:p>
        </w:tc>
        <w:tc>
          <w:tcPr>
            <w:tcW w:type="dxa" w:w="6552"/>
          </w:tcPr>
          <w:p>
            <w:pPr>
              <w:spacing w:after="0" w:line="259" w:lineRule="auto"/>
            </w:pPr>
            <w:r/>
            <w:r>
              <w:rPr>
                <w:rFonts w:ascii="Aptos" w:hAnsi="Aptos"/>
                <w:b w:val="0"/>
                <w:i w:val="0"/>
                <w:color w:val="20282E"/>
                <w:sz w:val="18"/>
              </w:rPr>
              <w:t>The program appears on a state list prepared under WIOA section 122(d), commonly an Eligible Training Provider List (ETPL).</w:t>
            </w:r>
          </w:p>
        </w:tc>
      </w:tr>
      <w:tr>
        <w:trPr>
          <w:cantSplit/>
        </w:trPr>
        <w:tc>
          <w:tcPr>
            <w:tcW w:type="dxa" w:w="648"/>
            <w:shd w:fill="F3F6F8"/>
          </w:tcPr>
          <w:p>
            <w:pPr>
              <w:spacing w:after="0" w:line="259" w:lineRule="auto"/>
              <w:jc w:val="center"/>
            </w:pPr>
            <w:r/>
            <w:r>
              <w:rPr>
                <w:rFonts w:ascii="Aptos" w:hAnsi="Aptos"/>
                <w:b/>
                <w:i w:val="0"/>
                <w:color w:val="C7922B"/>
                <w:sz w:val="20"/>
              </w:rPr>
              <w:t>2</w:t>
            </w:r>
          </w:p>
        </w:tc>
        <w:tc>
          <w:tcPr>
            <w:tcW w:type="dxa" w:w="2160"/>
            <w:shd w:fill="F3F6F8"/>
          </w:tcPr>
          <w:p>
            <w:pPr>
              <w:spacing w:after="0" w:line="259" w:lineRule="auto"/>
            </w:pPr>
            <w:r/>
            <w:r>
              <w:rPr>
                <w:rFonts w:ascii="Aptos" w:hAnsi="Aptos"/>
                <w:b/>
                <w:i w:val="0"/>
                <w:color w:val="13304A"/>
                <w:sz w:val="18"/>
              </w:rPr>
              <w:t>VA WEAMS directory</w:t>
            </w:r>
          </w:p>
        </w:tc>
        <w:tc>
          <w:tcPr>
            <w:tcW w:type="dxa" w:w="6552"/>
            <w:shd w:fill="F3F6F8"/>
          </w:tcPr>
          <w:p>
            <w:pPr>
              <w:spacing w:after="0" w:line="259" w:lineRule="auto"/>
            </w:pPr>
            <w:r/>
            <w:r>
              <w:rPr>
                <w:rFonts w:ascii="Aptos" w:hAnsi="Aptos"/>
                <w:b w:val="0"/>
                <w:i w:val="0"/>
                <w:color w:val="20282E"/>
                <w:sz w:val="18"/>
              </w:rPr>
              <w:t>The program is listed in the Veterans Benefits Administration’s public WEAMS directory.</w:t>
            </w:r>
          </w:p>
        </w:tc>
      </w:tr>
      <w:tr>
        <w:trPr>
          <w:cantSplit/>
        </w:trPr>
        <w:tc>
          <w:tcPr>
            <w:tcW w:type="dxa" w:w="648"/>
          </w:tcPr>
          <w:p>
            <w:pPr>
              <w:spacing w:after="0" w:line="259" w:lineRule="auto"/>
              <w:jc w:val="center"/>
            </w:pPr>
            <w:r/>
            <w:r>
              <w:rPr>
                <w:rFonts w:ascii="Aptos" w:hAnsi="Aptos"/>
                <w:b/>
                <w:i w:val="0"/>
                <w:color w:val="C7922B"/>
                <w:sz w:val="20"/>
              </w:rPr>
              <w:t>3</w:t>
            </w:r>
          </w:p>
        </w:tc>
        <w:tc>
          <w:tcPr>
            <w:tcW w:type="dxa" w:w="2160"/>
          </w:tcPr>
          <w:p>
            <w:pPr>
              <w:spacing w:after="0" w:line="259" w:lineRule="auto"/>
            </w:pPr>
            <w:r/>
            <w:r>
              <w:rPr>
                <w:rFonts w:ascii="Aptos" w:hAnsi="Aptos"/>
                <w:b/>
                <w:i w:val="0"/>
                <w:color w:val="13304A"/>
                <w:sz w:val="18"/>
              </w:rPr>
              <w:t>Recognized exam pathway</w:t>
            </w:r>
          </w:p>
        </w:tc>
        <w:tc>
          <w:tcPr>
            <w:tcW w:type="dxa" w:w="6552"/>
          </w:tcPr>
          <w:p>
            <w:pPr>
              <w:spacing w:after="0" w:line="259" w:lineRule="auto"/>
            </w:pPr>
            <w:r/>
            <w:r>
              <w:rPr>
                <w:rFonts w:ascii="Aptos" w:hAnsi="Aptos"/>
                <w:b w:val="0"/>
                <w:i w:val="0"/>
                <w:color w:val="20282E"/>
                <w:sz w:val="18"/>
              </w:rPr>
              <w:t>A reputable credentialing organization develops or administers a required exam and recognizes the program as training that prepares students for that exam.</w:t>
            </w:r>
          </w:p>
        </w:tc>
      </w:tr>
      <w:tr>
        <w:trPr>
          <w:cantSplit/>
        </w:trPr>
        <w:tc>
          <w:tcPr>
            <w:tcW w:type="dxa" w:w="648"/>
            <w:shd w:fill="F3F6F8"/>
          </w:tcPr>
          <w:p>
            <w:pPr>
              <w:spacing w:after="0" w:line="259" w:lineRule="auto"/>
              <w:jc w:val="center"/>
            </w:pPr>
            <w:r/>
            <w:r>
              <w:rPr>
                <w:rFonts w:ascii="Aptos" w:hAnsi="Aptos"/>
                <w:b/>
                <w:i w:val="0"/>
                <w:color w:val="C7922B"/>
                <w:sz w:val="20"/>
              </w:rPr>
              <w:t>4</w:t>
            </w:r>
          </w:p>
        </w:tc>
        <w:tc>
          <w:tcPr>
            <w:tcW w:type="dxa" w:w="2160"/>
            <w:shd w:fill="F3F6F8"/>
          </w:tcPr>
          <w:p>
            <w:pPr>
              <w:spacing w:after="0" w:line="259" w:lineRule="auto"/>
            </w:pPr>
            <w:r/>
            <w:r>
              <w:rPr>
                <w:rFonts w:ascii="Aptos" w:hAnsi="Aptos"/>
                <w:b/>
                <w:i w:val="0"/>
                <w:color w:val="13304A"/>
                <w:sz w:val="18"/>
              </w:rPr>
              <w:t>Treasury designation</w:t>
            </w:r>
          </w:p>
        </w:tc>
        <w:tc>
          <w:tcPr>
            <w:tcW w:type="dxa" w:w="6552"/>
            <w:shd w:fill="F3F6F8"/>
          </w:tcPr>
          <w:p>
            <w:pPr>
              <w:spacing w:after="0" w:line="259" w:lineRule="auto"/>
            </w:pPr>
            <w:r/>
            <w:r>
              <w:rPr>
                <w:rFonts w:ascii="Aptos" w:hAnsi="Aptos"/>
                <w:b w:val="0"/>
                <w:i w:val="0"/>
                <w:color w:val="20282E"/>
                <w:sz w:val="18"/>
              </w:rPr>
              <w:t>The Treasury Secretary, after consulting Labor, identifies the program as reputable for obtaining the credential.</w:t>
            </w:r>
          </w:p>
        </w:tc>
      </w:tr>
    </w:tbl>
    <w:p>
      <w:pPr>
        <w:spacing w:before="100"/>
      </w:pPr>
      <w:r>
        <w:rPr>
          <w:rFonts w:ascii="Aptos" w:hAnsi="Aptos"/>
          <w:b w:val="0"/>
          <w:i/>
          <w:color w:val="5A6770"/>
          <w:sz w:val="19"/>
        </w:rPr>
        <w:t>For Part 61 training, pathway 3 may be relevant because the FAA establishes required knowledge and practical tests and requires authorized-instructor training and endorsements. Whether a particular school’s program satisfies the exact recognition language is a fact-specific tax determination; do not assume that merely using an FAA-Certified Flight Instructor resolves the program test.</w:t>
      </w:r>
    </w:p>
    <w:p>
      <w:r>
        <w:br w:type="page"/>
      </w:r>
    </w:p>
    <w:p>
      <w:pPr>
        <w:pStyle w:val="Heading1"/>
      </w:pPr>
      <w:r>
        <w:t>What 529 funds may cover</w:t>
      </w:r>
    </w:p>
    <w:p>
      <w:r>
        <w:rPr>
          <w:rFonts w:ascii="Aptos" w:hAnsi="Aptos"/>
          <w:b w:val="0"/>
          <w:i w:val="0"/>
          <w:color w:val="20282E"/>
          <w:sz w:val="21"/>
        </w:rPr>
        <w:t>When the credential and program qualify, Section 70414 allows the following categories. The expense must be for the designated beneficiary and must meet the required-purpose rule.</w:t>
      </w:r>
    </w:p>
    <w:tbl>
      <w:tblPr>
        <w:tblW w:type="dxa" w:w="9360"/>
        <w:jc w:val="left"/>
        <w:tblLayout w:type="fixed"/>
        <w:tblLook w:firstColumn="1" w:firstRow="1" w:lastColumn="0" w:lastRow="0" w:noHBand="0" w:noVBand="1" w:val="04A0"/>
        <w:tblInd w:w="120" w:type="dxa"/>
      </w:tblPr>
      <w:tblGrid>
        <w:gridCol w:w="2880"/>
        <w:gridCol w:w="6480"/>
      </w:tblGrid>
      <w:tr>
        <w:trPr>
          <w:tblHeader w:val="true"/>
          <w:cantSplit/>
        </w:trPr>
        <w:tc>
          <w:tcPr>
            <w:tcW w:type="dxa" w:w="2880"/>
            <w:tcMar>
              <w:top w:w="80" w:type="dxa"/>
              <w:start w:w="120" w:type="dxa"/>
              <w:bottom w:w="80" w:type="dxa"/>
              <w:end w:w="120" w:type="dxa"/>
            </w:tcMar>
            <w:vAlign w:val="center"/>
            <w:shd w:fill="2E6647"/>
          </w:tcPr>
          <w:p>
            <w:pPr>
              <w:spacing w:after="0" w:line="259" w:lineRule="auto"/>
            </w:pPr>
            <w:r/>
            <w:r>
              <w:rPr>
                <w:rFonts w:ascii="Aptos" w:hAnsi="Aptos"/>
                <w:b/>
                <w:i w:val="0"/>
                <w:color w:val="FFFFFF"/>
                <w:sz w:val="18"/>
              </w:rPr>
              <w:t>Potentially qualified</w:t>
            </w:r>
          </w:p>
        </w:tc>
        <w:tc>
          <w:tcPr>
            <w:tcW w:type="dxa" w:w="6480"/>
            <w:tcMar>
              <w:top w:w="80" w:type="dxa"/>
              <w:start w:w="120" w:type="dxa"/>
              <w:bottom w:w="80" w:type="dxa"/>
              <w:end w:w="120" w:type="dxa"/>
            </w:tcMar>
            <w:vAlign w:val="center"/>
            <w:shd w:fill="2E6647"/>
          </w:tcPr>
          <w:p>
            <w:pPr>
              <w:spacing w:after="0" w:line="259" w:lineRule="auto"/>
            </w:pPr>
            <w:r/>
            <w:r>
              <w:rPr>
                <w:rFonts w:ascii="Aptos" w:hAnsi="Aptos"/>
                <w:b/>
                <w:i w:val="0"/>
                <w:color w:val="FFFFFF"/>
                <w:sz w:val="18"/>
              </w:rPr>
              <w:t>Conditions and documentation</w:t>
            </w:r>
          </w:p>
        </w:tc>
      </w:tr>
      <w:tr>
        <w:trPr>
          <w:cantSplit/>
        </w:trPr>
        <w:tc>
          <w:tcPr>
            <w:tcW w:type="dxa" w:w="2880"/>
          </w:tcPr>
          <w:p>
            <w:pPr>
              <w:spacing w:after="0" w:line="259" w:lineRule="auto"/>
            </w:pPr>
            <w:r/>
            <w:r>
              <w:rPr>
                <w:rFonts w:ascii="Aptos" w:hAnsi="Aptos"/>
                <w:b/>
                <w:i w:val="0"/>
                <w:color w:val="13304A"/>
                <w:sz w:val="18"/>
              </w:rPr>
              <w:t>Flight and ground instruction</w:t>
            </w:r>
          </w:p>
        </w:tc>
        <w:tc>
          <w:tcPr>
            <w:tcW w:type="dxa" w:w="6480"/>
          </w:tcPr>
          <w:p>
            <w:pPr>
              <w:spacing w:after="0" w:line="259" w:lineRule="auto"/>
            </w:pPr>
            <w:r/>
            <w:r>
              <w:rPr>
                <w:rFonts w:ascii="Aptos" w:hAnsi="Aptos"/>
                <w:b w:val="0"/>
                <w:i w:val="0"/>
                <w:color w:val="20282E"/>
                <w:sz w:val="18"/>
              </w:rPr>
              <w:t>Tuition or fees for required dual flight training, ground instruction, and an approved ground-school course within the qualifying program.</w:t>
            </w:r>
          </w:p>
        </w:tc>
      </w:tr>
      <w:tr>
        <w:trPr>
          <w:cantSplit/>
        </w:trPr>
        <w:tc>
          <w:tcPr>
            <w:tcW w:type="dxa" w:w="2880"/>
            <w:shd w:fill="F3F6F8"/>
          </w:tcPr>
          <w:p>
            <w:pPr>
              <w:spacing w:after="0" w:line="259" w:lineRule="auto"/>
            </w:pPr>
            <w:r/>
            <w:r>
              <w:rPr>
                <w:rFonts w:ascii="Aptos" w:hAnsi="Aptos"/>
                <w:b/>
                <w:i w:val="0"/>
                <w:color w:val="13304A"/>
                <w:sz w:val="18"/>
              </w:rPr>
              <w:t>Required aircraft or simulator use</w:t>
            </w:r>
          </w:p>
        </w:tc>
        <w:tc>
          <w:tcPr>
            <w:tcW w:type="dxa" w:w="6480"/>
            <w:shd w:fill="F3F6F8"/>
          </w:tcPr>
          <w:p>
            <w:pPr>
              <w:spacing w:after="0" w:line="259" w:lineRule="auto"/>
            </w:pPr>
            <w:r/>
            <w:r>
              <w:rPr>
                <w:rFonts w:ascii="Aptos" w:hAnsi="Aptos"/>
                <w:b w:val="0"/>
                <w:i w:val="0"/>
                <w:color w:val="20282E"/>
                <w:sz w:val="18"/>
              </w:rPr>
              <w:t>Potentially eligible when the use is an integral, required, and documented program charge. Unbundled rental or general hour-building should be reviewed separately.</w:t>
            </w:r>
          </w:p>
        </w:tc>
      </w:tr>
      <w:tr>
        <w:trPr>
          <w:cantSplit/>
        </w:trPr>
        <w:tc>
          <w:tcPr>
            <w:tcW w:type="dxa" w:w="2880"/>
          </w:tcPr>
          <w:p>
            <w:pPr>
              <w:spacing w:after="0" w:line="259" w:lineRule="auto"/>
            </w:pPr>
            <w:r/>
            <w:r>
              <w:rPr>
                <w:rFonts w:ascii="Aptos" w:hAnsi="Aptos"/>
                <w:b/>
                <w:i w:val="0"/>
                <w:color w:val="13304A"/>
                <w:sz w:val="18"/>
              </w:rPr>
              <w:t>Required books and supplies</w:t>
            </w:r>
          </w:p>
        </w:tc>
        <w:tc>
          <w:tcPr>
            <w:tcW w:type="dxa" w:w="6480"/>
          </w:tcPr>
          <w:p>
            <w:pPr>
              <w:spacing w:after="0" w:line="259" w:lineRule="auto"/>
            </w:pPr>
            <w:r/>
            <w:r>
              <w:rPr>
                <w:rFonts w:ascii="Aptos" w:hAnsi="Aptos"/>
                <w:b w:val="0"/>
                <w:i w:val="0"/>
                <w:color w:val="20282E"/>
                <w:sz w:val="18"/>
              </w:rPr>
              <w:t>FAA handbooks, textbooks, charts, plotters, training materials, and other items that the qualifying program actually requires.</w:t>
            </w:r>
          </w:p>
        </w:tc>
      </w:tr>
      <w:tr>
        <w:trPr>
          <w:cantSplit/>
        </w:trPr>
        <w:tc>
          <w:tcPr>
            <w:tcW w:type="dxa" w:w="2880"/>
            <w:shd w:fill="F3F6F8"/>
          </w:tcPr>
          <w:p>
            <w:pPr>
              <w:spacing w:after="0" w:line="259" w:lineRule="auto"/>
            </w:pPr>
            <w:r/>
            <w:r>
              <w:rPr>
                <w:rFonts w:ascii="Aptos" w:hAnsi="Aptos"/>
                <w:b/>
                <w:i w:val="0"/>
                <w:color w:val="13304A"/>
                <w:sz w:val="18"/>
              </w:rPr>
              <w:t>Required equipment</w:t>
            </w:r>
          </w:p>
        </w:tc>
        <w:tc>
          <w:tcPr>
            <w:tcW w:type="dxa" w:w="6480"/>
            <w:shd w:fill="F3F6F8"/>
          </w:tcPr>
          <w:p>
            <w:pPr>
              <w:spacing w:after="0" w:line="259" w:lineRule="auto"/>
            </w:pPr>
            <w:r/>
            <w:r>
              <w:rPr>
                <w:rFonts w:ascii="Aptos" w:hAnsi="Aptos"/>
                <w:b w:val="0"/>
                <w:i w:val="0"/>
                <w:color w:val="20282E"/>
                <w:sz w:val="18"/>
              </w:rPr>
              <w:t>A headset, electronic flight bag device, software, or similar equipment only when the program requires it and the amount is reasonable and documented. Personal preference is not enough.</w:t>
            </w:r>
          </w:p>
        </w:tc>
      </w:tr>
      <w:tr>
        <w:trPr>
          <w:cantSplit/>
        </w:trPr>
        <w:tc>
          <w:tcPr>
            <w:tcW w:type="dxa" w:w="2880"/>
          </w:tcPr>
          <w:p>
            <w:pPr>
              <w:spacing w:after="0" w:line="259" w:lineRule="auto"/>
            </w:pPr>
            <w:r/>
            <w:r>
              <w:rPr>
                <w:rFonts w:ascii="Aptos" w:hAnsi="Aptos"/>
                <w:b/>
                <w:i w:val="0"/>
                <w:color w:val="13304A"/>
                <w:sz w:val="18"/>
              </w:rPr>
              <w:t>Knowledge-test fees</w:t>
            </w:r>
          </w:p>
        </w:tc>
        <w:tc>
          <w:tcPr>
            <w:tcW w:type="dxa" w:w="6480"/>
          </w:tcPr>
          <w:p>
            <w:pPr>
              <w:spacing w:after="0" w:line="259" w:lineRule="auto"/>
            </w:pPr>
            <w:r/>
            <w:r>
              <w:rPr>
                <w:rFonts w:ascii="Aptos" w:hAnsi="Aptos"/>
                <w:b w:val="0"/>
                <w:i w:val="0"/>
                <w:color w:val="20282E"/>
                <w:sz w:val="18"/>
              </w:rPr>
              <w:t>Fees for a required FAA knowledge test or another required credential examination.</w:t>
            </w:r>
          </w:p>
        </w:tc>
      </w:tr>
      <w:tr>
        <w:trPr>
          <w:cantSplit/>
        </w:trPr>
        <w:tc>
          <w:tcPr>
            <w:tcW w:type="dxa" w:w="2880"/>
            <w:shd w:fill="F3F6F8"/>
          </w:tcPr>
          <w:p>
            <w:pPr>
              <w:spacing w:after="0" w:line="259" w:lineRule="auto"/>
            </w:pPr>
            <w:r/>
            <w:r>
              <w:rPr>
                <w:rFonts w:ascii="Aptos" w:hAnsi="Aptos"/>
                <w:b/>
                <w:i w:val="0"/>
                <w:color w:val="13304A"/>
                <w:sz w:val="18"/>
              </w:rPr>
              <w:t>Practical-test fees</w:t>
            </w:r>
          </w:p>
        </w:tc>
        <w:tc>
          <w:tcPr>
            <w:tcW w:type="dxa" w:w="6480"/>
            <w:shd w:fill="F3F6F8"/>
          </w:tcPr>
          <w:p>
            <w:pPr>
              <w:spacing w:after="0" w:line="259" w:lineRule="auto"/>
            </w:pPr>
            <w:r/>
            <w:r>
              <w:rPr>
                <w:rFonts w:ascii="Aptos" w:hAnsi="Aptos"/>
                <w:b w:val="0"/>
                <w:i w:val="0"/>
                <w:color w:val="20282E"/>
                <w:sz w:val="18"/>
              </w:rPr>
              <w:t>Fees for the required practical test/checkride, including a DPE fee, when the test is required for the recognized credential.</w:t>
            </w:r>
          </w:p>
        </w:tc>
      </w:tr>
      <w:tr>
        <w:trPr>
          <w:cantSplit/>
        </w:trPr>
        <w:tc>
          <w:tcPr>
            <w:tcW w:type="dxa" w:w="2880"/>
          </w:tcPr>
          <w:p>
            <w:pPr>
              <w:spacing w:after="0" w:line="259" w:lineRule="auto"/>
            </w:pPr>
            <w:r/>
            <w:r>
              <w:rPr>
                <w:rFonts w:ascii="Aptos" w:hAnsi="Aptos"/>
                <w:b/>
                <w:i w:val="0"/>
                <w:color w:val="13304A"/>
                <w:sz w:val="18"/>
              </w:rPr>
              <w:t>Required continuing education</w:t>
            </w:r>
          </w:p>
        </w:tc>
        <w:tc>
          <w:tcPr>
            <w:tcW w:type="dxa" w:w="6480"/>
          </w:tcPr>
          <w:p>
            <w:pPr>
              <w:spacing w:after="0" w:line="259" w:lineRule="auto"/>
            </w:pPr>
            <w:r/>
            <w:r>
              <w:rPr>
                <w:rFonts w:ascii="Aptos" w:hAnsi="Aptos"/>
                <w:b w:val="0"/>
                <w:i w:val="0"/>
                <w:color w:val="20282E"/>
                <w:sz w:val="18"/>
              </w:rPr>
              <w:t>Only education required to maintain a recognized credential. General proficiency, currency, or personal skill-building is not automatically the same as credential maintenance.</w:t>
            </w:r>
          </w:p>
        </w:tc>
      </w:tr>
    </w:tbl>
    <w:p>
      <w:pPr>
        <w:pStyle w:val="Heading1"/>
      </w:pPr>
      <w:r>
        <w:t>What should not be treated as automatically qualified</w:t>
      </w:r>
    </w:p>
    <w:tbl>
      <w:tblPr>
        <w:tblW w:type="dxa" w:w="9360"/>
        <w:jc w:val="left"/>
        <w:tblLayout w:type="fixed"/>
        <w:tblLook w:firstColumn="1" w:firstRow="1" w:lastColumn="0" w:lastRow="0" w:noHBand="0" w:noVBand="1" w:val="04A0"/>
        <w:tblInd w:w="120" w:type="dxa"/>
      </w:tblPr>
      <w:tblGrid>
        <w:gridCol w:w="2880"/>
        <w:gridCol w:w="6480"/>
      </w:tblGrid>
      <w:tr>
        <w:trPr>
          <w:tblHeader w:val="true"/>
          <w:cantSplit/>
        </w:trPr>
        <w:tc>
          <w:tcPr>
            <w:tcW w:type="dxa" w:w="2880"/>
            <w:tcMar>
              <w:top w:w="80" w:type="dxa"/>
              <w:start w:w="120" w:type="dxa"/>
              <w:bottom w:w="80" w:type="dxa"/>
              <w:end w:w="120" w:type="dxa"/>
            </w:tcMar>
            <w:vAlign w:val="center"/>
            <w:shd w:fill="8D2B2B"/>
          </w:tcPr>
          <w:p>
            <w:pPr>
              <w:spacing w:after="0" w:line="259" w:lineRule="auto"/>
            </w:pPr>
            <w:r/>
            <w:r>
              <w:rPr>
                <w:rFonts w:ascii="Aptos" w:hAnsi="Aptos"/>
                <w:b/>
                <w:i w:val="0"/>
                <w:color w:val="FFFFFF"/>
                <w:sz w:val="18"/>
              </w:rPr>
              <w:t>Do not assume</w:t>
            </w:r>
          </w:p>
        </w:tc>
        <w:tc>
          <w:tcPr>
            <w:tcW w:type="dxa" w:w="6480"/>
            <w:tcMar>
              <w:top w:w="80" w:type="dxa"/>
              <w:start w:w="120" w:type="dxa"/>
              <w:bottom w:w="80" w:type="dxa"/>
              <w:end w:w="120" w:type="dxa"/>
            </w:tcMar>
            <w:vAlign w:val="center"/>
            <w:shd w:fill="8D2B2B"/>
          </w:tcPr>
          <w:p>
            <w:pPr>
              <w:spacing w:after="0" w:line="259" w:lineRule="auto"/>
            </w:pPr>
            <w:r/>
            <w:r>
              <w:rPr>
                <w:rFonts w:ascii="Aptos" w:hAnsi="Aptos"/>
                <w:b/>
                <w:i w:val="0"/>
                <w:color w:val="FFFFFF"/>
                <w:sz w:val="18"/>
              </w:rPr>
              <w:t>Why it is uncertain or excluded</w:t>
            </w:r>
          </w:p>
        </w:tc>
      </w:tr>
      <w:tr>
        <w:trPr>
          <w:cantSplit/>
        </w:trPr>
        <w:tc>
          <w:tcPr>
            <w:tcW w:type="dxa" w:w="2880"/>
          </w:tcPr>
          <w:p>
            <w:pPr>
              <w:spacing w:after="0" w:line="259" w:lineRule="auto"/>
            </w:pPr>
            <w:r/>
            <w:r>
              <w:rPr>
                <w:rFonts w:ascii="Aptos" w:hAnsi="Aptos"/>
                <w:b/>
                <w:i w:val="0"/>
                <w:color w:val="8D2B2B"/>
                <w:sz w:val="18"/>
              </w:rPr>
              <w:t>Discovery, sightseeing, or introductory flights</w:t>
            </w:r>
          </w:p>
        </w:tc>
        <w:tc>
          <w:tcPr>
            <w:tcW w:type="dxa" w:w="6480"/>
          </w:tcPr>
          <w:p>
            <w:pPr>
              <w:spacing w:after="0" w:line="259" w:lineRule="auto"/>
            </w:pPr>
            <w:r/>
            <w:r>
              <w:rPr>
                <w:rFonts w:ascii="Aptos" w:hAnsi="Aptos"/>
                <w:b w:val="0"/>
                <w:i w:val="0"/>
                <w:color w:val="20282E"/>
                <w:sz w:val="18"/>
              </w:rPr>
              <w:t>These are not, by themselves, enrollment in a recognized credential program.</w:t>
            </w:r>
          </w:p>
        </w:tc>
      </w:tr>
      <w:tr>
        <w:trPr>
          <w:cantSplit/>
        </w:trPr>
        <w:tc>
          <w:tcPr>
            <w:tcW w:type="dxa" w:w="2880"/>
            <w:shd w:fill="FAF3F3"/>
          </w:tcPr>
          <w:p>
            <w:pPr>
              <w:spacing w:after="0" w:line="259" w:lineRule="auto"/>
            </w:pPr>
            <w:r/>
            <w:r>
              <w:rPr>
                <w:rFonts w:ascii="Aptos" w:hAnsi="Aptos"/>
                <w:b/>
                <w:i w:val="0"/>
                <w:color w:val="8D2B2B"/>
                <w:sz w:val="18"/>
              </w:rPr>
              <w:t>Recreational flying or proficiency flights</w:t>
            </w:r>
          </w:p>
        </w:tc>
        <w:tc>
          <w:tcPr>
            <w:tcW w:type="dxa" w:w="6480"/>
            <w:shd w:fill="FAF3F3"/>
          </w:tcPr>
          <w:p>
            <w:pPr>
              <w:spacing w:after="0" w:line="259" w:lineRule="auto"/>
            </w:pPr>
            <w:r/>
            <w:r>
              <w:rPr>
                <w:rFonts w:ascii="Aptos" w:hAnsi="Aptos"/>
                <w:b w:val="0"/>
                <w:i w:val="0"/>
                <w:color w:val="20282E"/>
                <w:sz w:val="18"/>
              </w:rPr>
              <w:t>Fun flights, general practice, aerobatic experiences, spin/upset courses, and rental for personal proficiency are not automatically credential expenses.</w:t>
            </w:r>
          </w:p>
        </w:tc>
      </w:tr>
      <w:tr>
        <w:trPr>
          <w:cantSplit/>
        </w:trPr>
        <w:tc>
          <w:tcPr>
            <w:tcW w:type="dxa" w:w="2880"/>
          </w:tcPr>
          <w:p>
            <w:pPr>
              <w:spacing w:after="0" w:line="259" w:lineRule="auto"/>
            </w:pPr>
            <w:r/>
            <w:r>
              <w:rPr>
                <w:rFonts w:ascii="Aptos" w:hAnsi="Aptos"/>
                <w:b/>
                <w:i w:val="0"/>
                <w:color w:val="8D2B2B"/>
                <w:sz w:val="18"/>
              </w:rPr>
              <w:t>Unsupervised time-building or aircraft rental</w:t>
            </w:r>
          </w:p>
        </w:tc>
        <w:tc>
          <w:tcPr>
            <w:tcW w:type="dxa" w:w="6480"/>
          </w:tcPr>
          <w:p>
            <w:pPr>
              <w:spacing w:after="0" w:line="259" w:lineRule="auto"/>
            </w:pPr>
            <w:r/>
            <w:r>
              <w:rPr>
                <w:rFonts w:ascii="Aptos" w:hAnsi="Aptos"/>
                <w:b w:val="0"/>
                <w:i w:val="0"/>
                <w:color w:val="20282E"/>
                <w:sz w:val="18"/>
              </w:rPr>
              <w:t>Even if hours are useful for a future certificate, an expense outside the qualifying program may fail the enrollment-or-attendance test. Obtain written professional approval before using 529 funds.</w:t>
            </w:r>
          </w:p>
        </w:tc>
      </w:tr>
      <w:tr>
        <w:trPr>
          <w:cantSplit/>
        </w:trPr>
        <w:tc>
          <w:tcPr>
            <w:tcW w:type="dxa" w:w="2880"/>
            <w:shd w:fill="FAF3F3"/>
          </w:tcPr>
          <w:p>
            <w:pPr>
              <w:spacing w:after="0" w:line="259" w:lineRule="auto"/>
            </w:pPr>
            <w:r/>
            <w:r>
              <w:rPr>
                <w:rFonts w:ascii="Aptos" w:hAnsi="Aptos"/>
                <w:b/>
                <w:i w:val="0"/>
                <w:color w:val="8D2B2B"/>
                <w:sz w:val="18"/>
              </w:rPr>
              <w:t>Optional upgrades and personal gear</w:t>
            </w:r>
          </w:p>
        </w:tc>
        <w:tc>
          <w:tcPr>
            <w:tcW w:type="dxa" w:w="6480"/>
            <w:shd w:fill="FAF3F3"/>
          </w:tcPr>
          <w:p>
            <w:pPr>
              <w:spacing w:after="0" w:line="259" w:lineRule="auto"/>
            </w:pPr>
            <w:r/>
            <w:r>
              <w:rPr>
                <w:rFonts w:ascii="Aptos" w:hAnsi="Aptos"/>
                <w:b w:val="0"/>
                <w:i w:val="0"/>
                <w:color w:val="20282E"/>
                <w:sz w:val="18"/>
              </w:rPr>
              <w:t>Premium headsets, optional tablets, extra apps, cameras, apparel, luggage, and accessories are not qualified merely because a pilot uses them.</w:t>
            </w:r>
          </w:p>
        </w:tc>
      </w:tr>
      <w:tr>
        <w:trPr>
          <w:cantSplit/>
        </w:trPr>
        <w:tc>
          <w:tcPr>
            <w:tcW w:type="dxa" w:w="2880"/>
          </w:tcPr>
          <w:p>
            <w:pPr>
              <w:spacing w:after="0" w:line="259" w:lineRule="auto"/>
            </w:pPr>
            <w:r/>
            <w:r>
              <w:rPr>
                <w:rFonts w:ascii="Aptos" w:hAnsi="Aptos"/>
                <w:b/>
                <w:i w:val="0"/>
                <w:color w:val="8D2B2B"/>
                <w:sz w:val="18"/>
              </w:rPr>
              <w:t>Travel and personal living costs</w:t>
            </w:r>
          </w:p>
        </w:tc>
        <w:tc>
          <w:tcPr>
            <w:tcW w:type="dxa" w:w="6480"/>
          </w:tcPr>
          <w:p>
            <w:pPr>
              <w:spacing w:after="0" w:line="259" w:lineRule="auto"/>
            </w:pPr>
            <w:r/>
            <w:r>
              <w:rPr>
                <w:rFonts w:ascii="Aptos" w:hAnsi="Aptos"/>
                <w:b w:val="0"/>
                <w:i w:val="0"/>
                <w:color w:val="20282E"/>
                <w:sz w:val="18"/>
              </w:rPr>
              <w:t>Transportation to the airport, hotels, meals, commuting, parking, and ordinary living expenses are not listed as credentialing expenses.</w:t>
            </w:r>
          </w:p>
        </w:tc>
      </w:tr>
      <w:tr>
        <w:trPr>
          <w:cantSplit/>
        </w:trPr>
        <w:tc>
          <w:tcPr>
            <w:tcW w:type="dxa" w:w="2880"/>
            <w:shd w:fill="FAF3F3"/>
          </w:tcPr>
          <w:p>
            <w:pPr>
              <w:spacing w:after="0" w:line="259" w:lineRule="auto"/>
            </w:pPr>
            <w:r/>
            <w:r>
              <w:rPr>
                <w:rFonts w:ascii="Aptos" w:hAnsi="Aptos"/>
                <w:b/>
                <w:i w:val="0"/>
                <w:color w:val="8D2B2B"/>
                <w:sz w:val="18"/>
              </w:rPr>
              <w:t>Medical and personal costs</w:t>
            </w:r>
          </w:p>
        </w:tc>
        <w:tc>
          <w:tcPr>
            <w:tcW w:type="dxa" w:w="6480"/>
            <w:shd w:fill="FAF3F3"/>
          </w:tcPr>
          <w:p>
            <w:pPr>
              <w:spacing w:after="0" w:line="259" w:lineRule="auto"/>
            </w:pPr>
            <w:r/>
            <w:r>
              <w:rPr>
                <w:rFonts w:ascii="Aptos" w:hAnsi="Aptos"/>
                <w:b w:val="0"/>
                <w:i w:val="0"/>
                <w:color w:val="20282E"/>
                <w:sz w:val="18"/>
              </w:rPr>
              <w:t>FAA medical examinations, insurance, club dues, membership charges, financing costs, and aircraft ownership costs are not expressly included in Section 70414.</w:t>
            </w:r>
          </w:p>
        </w:tc>
      </w:tr>
      <w:tr>
        <w:trPr>
          <w:cantSplit/>
        </w:trPr>
        <w:tc>
          <w:tcPr>
            <w:tcW w:type="dxa" w:w="2880"/>
          </w:tcPr>
          <w:p>
            <w:pPr>
              <w:spacing w:after="0" w:line="259" w:lineRule="auto"/>
            </w:pPr>
            <w:r/>
            <w:r>
              <w:rPr>
                <w:rFonts w:ascii="Aptos" w:hAnsi="Aptos"/>
                <w:b/>
                <w:i w:val="0"/>
                <w:color w:val="8D2B2B"/>
                <w:sz w:val="18"/>
              </w:rPr>
              <w:t>Expenses paid twice or reimbursed elsewhere</w:t>
            </w:r>
          </w:p>
        </w:tc>
        <w:tc>
          <w:tcPr>
            <w:tcW w:type="dxa" w:w="6480"/>
          </w:tcPr>
          <w:p>
            <w:pPr>
              <w:spacing w:after="0" w:line="259" w:lineRule="auto"/>
            </w:pPr>
            <w:r/>
            <w:r>
              <w:rPr>
                <w:rFonts w:ascii="Aptos" w:hAnsi="Aptos"/>
                <w:b w:val="0"/>
                <w:i w:val="0"/>
                <w:color w:val="20282E"/>
                <w:sz w:val="18"/>
              </w:rPr>
              <w:t>The same dollar of expense cannot support a tax-free 529 withdrawal and another tax benefit or tax-free scholarship, grant, VA benefit, or employer assistance.</w:t>
            </w:r>
          </w:p>
        </w:tc>
      </w:tr>
      <w:tr>
        <w:trPr>
          <w:cantSplit/>
        </w:trPr>
        <w:tc>
          <w:tcPr>
            <w:tcW w:type="dxa" w:w="2880"/>
            <w:shd w:fill="FAF3F3"/>
          </w:tcPr>
          <w:p>
            <w:pPr>
              <w:spacing w:after="0" w:line="259" w:lineRule="auto"/>
            </w:pPr>
            <w:r/>
            <w:r>
              <w:rPr>
                <w:rFonts w:ascii="Aptos" w:hAnsi="Aptos"/>
                <w:b/>
                <w:i w:val="0"/>
                <w:color w:val="8D2B2B"/>
                <w:sz w:val="18"/>
              </w:rPr>
              <w:t>Expenses before the effective date</w:t>
            </w:r>
          </w:p>
        </w:tc>
        <w:tc>
          <w:tcPr>
            <w:tcW w:type="dxa" w:w="6480"/>
            <w:shd w:fill="FAF3F3"/>
          </w:tcPr>
          <w:p>
            <w:pPr>
              <w:spacing w:after="0" w:line="259" w:lineRule="auto"/>
            </w:pPr>
            <w:r/>
            <w:r>
              <w:rPr>
                <w:rFonts w:ascii="Aptos" w:hAnsi="Aptos"/>
                <w:b w:val="0"/>
                <w:i w:val="0"/>
                <w:color w:val="20282E"/>
                <w:sz w:val="18"/>
              </w:rPr>
              <w:t>The credential expansion applies to distributions made after July 4, 2025; it does not retroactively convert an earlier distribution into a qualified one.</w:t>
            </w:r>
          </w:p>
        </w:tc>
      </w:tr>
    </w:tbl>
    <w:p>
      <w:pPr>
        <w:keepLines/>
        <w:spacing w:before="60" w:after="160" w:line="276" w:lineRule="auto"/>
        <w:shd w:fill="FFF5DC"/>
        <w:pBdr>
          <w:top w:val="single" w:sz="7" w:space="5" w:color="8D2B2B"/>
          <w:left w:val="single" w:sz="7" w:space="5" w:color="8D2B2B"/>
          <w:bottom w:val="single" w:sz="7" w:space="5" w:color="8D2B2B"/>
          <w:right w:val="single" w:sz="7" w:space="5" w:color="8D2B2B"/>
        </w:pBdr>
        <w:ind w:left="170" w:right="170"/>
      </w:pPr>
      <w:r>
        <w:rPr>
          <w:rFonts w:ascii="Aptos" w:hAnsi="Aptos"/>
          <w:b/>
          <w:i w:val="0"/>
          <w:color w:val="8D2B2B"/>
          <w:sz w:val="18"/>
        </w:rPr>
        <w:t>FLIGHT REVIEWS AND CURRENCY</w:t>
        <w:br/>
      </w:r>
      <w:r>
        <w:rPr>
          <w:rFonts w:ascii="Aptos" w:hAnsi="Aptos"/>
          <w:b w:val="0"/>
          <w:i w:val="0"/>
          <w:color w:val="20282E"/>
          <w:sz w:val="20"/>
        </w:rPr>
        <w:t>A flight review is required to act as pilot in command after the applicable 24-calendar-month period, but it does not ordinarily renew an expiring pilot certificate. Because Section 70414 covers continuing education required to maintain a credential, not every recency or currency expense clearly qualifies. Treat flight reviews, instrument-proficiency work, takeoff-and-landing currency, and similar recurrent training as uncertain unless a tax professional approves the specific use.</w:t>
      </w:r>
    </w:p>
    <w:p>
      <w:r>
        <w:br w:type="page"/>
      </w:r>
    </w:p>
    <w:p>
      <w:pPr>
        <w:pStyle w:val="Heading1"/>
      </w:pPr>
      <w:r>
        <w:t>Step-by-step guide for students and families</w:t>
      </w:r>
    </w:p>
    <w:p>
      <w:pPr>
        <w:keepLines/>
        <w:spacing w:before="40" w:after="100" w:line="269" w:lineRule="auto"/>
        <w:shd w:fill="F3F6F8"/>
        <w:pBdr>
          <w:top w:val="single" w:sz="5" w:space="5" w:color="D8E0E5"/>
          <w:left w:val="single" w:sz="5" w:space="5" w:color="D8E0E5"/>
          <w:bottom w:val="single" w:sz="5" w:space="5" w:color="D8E0E5"/>
          <w:right w:val="single" w:sz="5" w:space="5" w:color="D8E0E5"/>
        </w:pBdr>
        <w:ind w:left="150" w:right="150"/>
      </w:pPr>
      <w:r>
        <w:rPr>
          <w:rFonts w:ascii="Aptos" w:hAnsi="Aptos"/>
          <w:b/>
          <w:i w:val="0"/>
          <w:color w:val="13304A"/>
          <w:sz w:val="21"/>
        </w:rPr>
        <w:t xml:space="preserve">1.  Name the exact career credential.  </w:t>
      </w:r>
      <w:r>
        <w:rPr>
          <w:rFonts w:ascii="Aptos" w:hAnsi="Aptos"/>
          <w:b w:val="0"/>
          <w:i w:val="0"/>
          <w:color w:val="20282E"/>
          <w:sz w:val="19"/>
        </w:rPr>
        <w:t>Write down the certificate or rating being pursued—for example, Commercial Pilot Certificate, Instrument Rating, or Flight Instructor Certificate—and identify the designated beneficiary on the 529 account.</w:t>
      </w:r>
    </w:p>
    <w:p>
      <w:pPr>
        <w:keepLines/>
        <w:spacing w:before="40" w:after="100" w:line="269" w:lineRule="auto"/>
        <w:shd w:fill="F3F6F8"/>
        <w:pBdr>
          <w:top w:val="single" w:sz="5" w:space="5" w:color="D8E0E5"/>
          <w:left w:val="single" w:sz="5" w:space="5" w:color="D8E0E5"/>
          <w:bottom w:val="single" w:sz="5" w:space="5" w:color="D8E0E5"/>
          <w:right w:val="single" w:sz="5" w:space="5" w:color="D8E0E5"/>
        </w:pBdr>
        <w:ind w:left="150" w:right="150"/>
      </w:pPr>
      <w:r>
        <w:rPr>
          <w:rFonts w:ascii="Aptos" w:hAnsi="Aptos"/>
          <w:b/>
          <w:i w:val="0"/>
          <w:color w:val="13304A"/>
          <w:sz w:val="21"/>
        </w:rPr>
        <w:t xml:space="preserve">2.  Document why the credential qualifies.  </w:t>
      </w:r>
      <w:r>
        <w:rPr>
          <w:rFonts w:ascii="Aptos" w:hAnsi="Aptos"/>
          <w:b w:val="0"/>
          <w:i w:val="0"/>
          <w:color w:val="20282E"/>
          <w:sz w:val="19"/>
        </w:rPr>
        <w:t>Keep the applicable FAA regulation, credential description, and career-purpose statement. If Private Pilot training is the first stage of a commercial pathway, document that 14 CFR 61.123 requires a commercial applicant to hold at least a private pilot certificate.</w:t>
      </w:r>
    </w:p>
    <w:p>
      <w:pPr>
        <w:keepLines/>
        <w:spacing w:before="40" w:after="100" w:line="269" w:lineRule="auto"/>
        <w:shd w:fill="F3F6F8"/>
        <w:pBdr>
          <w:top w:val="single" w:sz="5" w:space="5" w:color="D8E0E5"/>
          <w:left w:val="single" w:sz="5" w:space="5" w:color="D8E0E5"/>
          <w:bottom w:val="single" w:sz="5" w:space="5" w:color="D8E0E5"/>
          <w:right w:val="single" w:sz="5" w:space="5" w:color="D8E0E5"/>
        </w:pBdr>
        <w:ind w:left="150" w:right="150"/>
      </w:pPr>
      <w:r>
        <w:rPr>
          <w:rFonts w:ascii="Aptos" w:hAnsi="Aptos"/>
          <w:b/>
          <w:i w:val="0"/>
          <w:color w:val="13304A"/>
          <w:sz w:val="21"/>
        </w:rPr>
        <w:t xml:space="preserve">3.  Document the program’s qualification pathway.  </w:t>
      </w:r>
      <w:r>
        <w:rPr>
          <w:rFonts w:ascii="Aptos" w:hAnsi="Aptos"/>
          <w:b w:val="0"/>
          <w:i w:val="0"/>
          <w:color w:val="20282E"/>
          <w:sz w:val="19"/>
        </w:rPr>
        <w:t>Obtain proof that the specific training program appears on the state WIOA list or VA WEAMS directory, or obtain documentation supporting another statutory pathway. A general statement that a school uses FAA-Certified Flight Instructors is helpful but is not, by itself, conclusive proof under Section 70414.</w:t>
      </w:r>
    </w:p>
    <w:p>
      <w:pPr>
        <w:keepLines/>
        <w:spacing w:before="40" w:after="100" w:line="269" w:lineRule="auto"/>
        <w:shd w:fill="F3F6F8"/>
        <w:pBdr>
          <w:top w:val="single" w:sz="5" w:space="5" w:color="D8E0E5"/>
          <w:left w:val="single" w:sz="5" w:space="5" w:color="D8E0E5"/>
          <w:bottom w:val="single" w:sz="5" w:space="5" w:color="D8E0E5"/>
          <w:right w:val="single" w:sz="5" w:space="5" w:color="D8E0E5"/>
        </w:pBdr>
        <w:ind w:left="150" w:right="150"/>
      </w:pPr>
      <w:r>
        <w:rPr>
          <w:rFonts w:ascii="Aptos" w:hAnsi="Aptos"/>
          <w:b/>
          <w:i w:val="0"/>
          <w:color w:val="13304A"/>
          <w:sz w:val="21"/>
        </w:rPr>
        <w:t xml:space="preserve">4.  Ask for an itemized training plan and estimate.  </w:t>
      </w:r>
      <w:r>
        <w:rPr>
          <w:rFonts w:ascii="Aptos" w:hAnsi="Aptos"/>
          <w:b w:val="0"/>
          <w:i w:val="0"/>
          <w:color w:val="20282E"/>
          <w:sz w:val="19"/>
        </w:rPr>
        <w:t>The plan should separate required instruction, aircraft/simulator use, ground school, books, supplies, equipment, and test fees from optional rental, merchandise, travel, memberships, and personal expenses.</w:t>
      </w:r>
    </w:p>
    <w:p>
      <w:pPr>
        <w:keepLines/>
        <w:spacing w:before="40" w:after="100" w:line="269" w:lineRule="auto"/>
        <w:shd w:fill="F3F6F8"/>
        <w:pBdr>
          <w:top w:val="single" w:sz="5" w:space="5" w:color="D8E0E5"/>
          <w:left w:val="single" w:sz="5" w:space="5" w:color="D8E0E5"/>
          <w:bottom w:val="single" w:sz="5" w:space="5" w:color="D8E0E5"/>
          <w:right w:val="single" w:sz="5" w:space="5" w:color="D8E0E5"/>
        </w:pBdr>
        <w:ind w:left="150" w:right="150"/>
      </w:pPr>
      <w:r>
        <w:rPr>
          <w:rFonts w:ascii="Aptos" w:hAnsi="Aptos"/>
          <w:b/>
          <w:i w:val="0"/>
          <w:color w:val="13304A"/>
          <w:sz w:val="21"/>
        </w:rPr>
        <w:t xml:space="preserve">5.  Obtain written tax and plan-administrator confirmation.  </w:t>
      </w:r>
      <w:r>
        <w:rPr>
          <w:rFonts w:ascii="Aptos" w:hAnsi="Aptos"/>
          <w:b w:val="0"/>
          <w:i w:val="0"/>
          <w:color w:val="20282E"/>
          <w:sz w:val="19"/>
        </w:rPr>
        <w:t>Before withdrawing funds, give the credential proof, program proof, and itemized estimate to the account owner’s tax professional and 529 plan administrator. Ask how the distribution should be requested and who should receive it.</w:t>
      </w:r>
    </w:p>
    <w:p>
      <w:pPr>
        <w:keepLines/>
        <w:spacing w:before="40" w:after="100" w:line="269" w:lineRule="auto"/>
        <w:shd w:fill="F3F6F8"/>
        <w:pBdr>
          <w:top w:val="single" w:sz="5" w:space="5" w:color="D8E0E5"/>
          <w:left w:val="single" w:sz="5" w:space="5" w:color="D8E0E5"/>
          <w:bottom w:val="single" w:sz="5" w:space="5" w:color="D8E0E5"/>
          <w:right w:val="single" w:sz="5" w:space="5" w:color="D8E0E5"/>
        </w:pBdr>
        <w:ind w:left="150" w:right="150"/>
      </w:pPr>
      <w:r>
        <w:rPr>
          <w:rFonts w:ascii="Aptos" w:hAnsi="Aptos"/>
          <w:b/>
          <w:i w:val="0"/>
          <w:color w:val="13304A"/>
          <w:sz w:val="21"/>
        </w:rPr>
        <w:t xml:space="preserve">6.  Withdraw no more than the qualified amount.  </w:t>
      </w:r>
      <w:r>
        <w:rPr>
          <w:rFonts w:ascii="Aptos" w:hAnsi="Aptos"/>
          <w:b w:val="0"/>
          <w:i w:val="0"/>
          <w:color w:val="20282E"/>
          <w:sz w:val="19"/>
        </w:rPr>
        <w:t>Match distributions to qualified expenses actually paid for that beneficiary. IRS Publication 970 compares all 529 distributions for the tax year with adjusted qualified education expenses paid during that year, so coordinate timing carefully.</w:t>
      </w:r>
    </w:p>
    <w:p>
      <w:pPr>
        <w:keepLines/>
        <w:spacing w:before="40" w:after="100" w:line="269" w:lineRule="auto"/>
        <w:shd w:fill="F3F6F8"/>
        <w:pBdr>
          <w:top w:val="single" w:sz="5" w:space="5" w:color="D8E0E5"/>
          <w:left w:val="single" w:sz="5" w:space="5" w:color="D8E0E5"/>
          <w:bottom w:val="single" w:sz="5" w:space="5" w:color="D8E0E5"/>
          <w:right w:val="single" w:sz="5" w:space="5" w:color="D8E0E5"/>
        </w:pBdr>
        <w:ind w:left="150" w:right="150"/>
      </w:pPr>
      <w:r>
        <w:rPr>
          <w:rFonts w:ascii="Aptos" w:hAnsi="Aptos"/>
          <w:b/>
          <w:i w:val="0"/>
          <w:color w:val="13304A"/>
          <w:sz w:val="21"/>
        </w:rPr>
        <w:t xml:space="preserve">7.  Pay and preserve the paper trail.  </w:t>
      </w:r>
      <w:r>
        <w:rPr>
          <w:rFonts w:ascii="Aptos" w:hAnsi="Aptos"/>
          <w:b w:val="0"/>
          <w:i w:val="0"/>
          <w:color w:val="20282E"/>
          <w:sz w:val="19"/>
        </w:rPr>
        <w:t>Retain invoices, receipts, payment confirmations, training agreements, syllabi, logbook/training-record entries, and test receipts. Mark each cost as qualified, nonqualified, or awaiting review.</w:t>
      </w:r>
    </w:p>
    <w:p>
      <w:pPr>
        <w:keepLines/>
        <w:spacing w:before="40" w:after="100" w:line="269" w:lineRule="auto"/>
        <w:shd w:fill="F3F6F8"/>
        <w:pBdr>
          <w:top w:val="single" w:sz="5" w:space="5" w:color="D8E0E5"/>
          <w:left w:val="single" w:sz="5" w:space="5" w:color="D8E0E5"/>
          <w:bottom w:val="single" w:sz="5" w:space="5" w:color="D8E0E5"/>
          <w:right w:val="single" w:sz="5" w:space="5" w:color="D8E0E5"/>
        </w:pBdr>
        <w:ind w:left="150" w:right="150"/>
      </w:pPr>
      <w:r>
        <w:rPr>
          <w:rFonts w:ascii="Aptos" w:hAnsi="Aptos"/>
          <w:b/>
          <w:i w:val="0"/>
          <w:color w:val="13304A"/>
          <w:sz w:val="21"/>
        </w:rPr>
        <w:t xml:space="preserve">8.  Track other education assistance.  </w:t>
      </w:r>
      <w:r>
        <w:rPr>
          <w:rFonts w:ascii="Aptos" w:hAnsi="Aptos"/>
          <w:b w:val="0"/>
          <w:i w:val="0"/>
          <w:color w:val="20282E"/>
          <w:sz w:val="19"/>
        </w:rPr>
        <w:t>Reduce qualified expenses by tax-free scholarships, grants, VA educational assistance, employer educational assistance, and other tax-free educational payments. Do not use the same expense for both a tax-free 529 withdrawal and an education credit.</w:t>
      </w:r>
    </w:p>
    <w:p>
      <w:pPr>
        <w:keepLines/>
        <w:spacing w:before="40" w:after="100" w:line="269" w:lineRule="auto"/>
        <w:shd w:fill="F3F6F8"/>
        <w:pBdr>
          <w:top w:val="single" w:sz="5" w:space="5" w:color="D8E0E5"/>
          <w:left w:val="single" w:sz="5" w:space="5" w:color="D8E0E5"/>
          <w:bottom w:val="single" w:sz="5" w:space="5" w:color="D8E0E5"/>
          <w:right w:val="single" w:sz="5" w:space="5" w:color="D8E0E5"/>
        </w:pBdr>
        <w:ind w:left="150" w:right="150"/>
      </w:pPr>
      <w:r>
        <w:rPr>
          <w:rFonts w:ascii="Aptos" w:hAnsi="Aptos"/>
          <w:b/>
          <w:i w:val="0"/>
          <w:color w:val="13304A"/>
          <w:sz w:val="21"/>
        </w:rPr>
        <w:t xml:space="preserve">9.  Handle refunds within 60 days.  </w:t>
      </w:r>
      <w:r>
        <w:rPr>
          <w:rFonts w:ascii="Aptos" w:hAnsi="Aptos"/>
          <w:b w:val="0"/>
          <w:i w:val="0"/>
          <w:color w:val="20282E"/>
          <w:sz w:val="19"/>
        </w:rPr>
        <w:t>If a qualified expense is refunded after being paid with a 529 distribution, the beneficiary may generally recontribute the refunded amount to a 529 account for that beneficiary within 60 days to avoid having to calculate a taxable portion.</w:t>
      </w:r>
    </w:p>
    <w:p>
      <w:pPr>
        <w:keepLines/>
        <w:spacing w:before="40" w:after="100" w:line="269" w:lineRule="auto"/>
        <w:shd w:fill="F3F6F8"/>
        <w:pBdr>
          <w:top w:val="single" w:sz="5" w:space="5" w:color="D8E0E5"/>
          <w:left w:val="single" w:sz="5" w:space="5" w:color="D8E0E5"/>
          <w:bottom w:val="single" w:sz="5" w:space="5" w:color="D8E0E5"/>
          <w:right w:val="single" w:sz="5" w:space="5" w:color="D8E0E5"/>
        </w:pBdr>
        <w:ind w:left="150" w:right="150"/>
      </w:pPr>
      <w:r>
        <w:rPr>
          <w:rFonts w:ascii="Aptos" w:hAnsi="Aptos"/>
          <w:b/>
          <w:i w:val="0"/>
          <w:color w:val="13304A"/>
          <w:sz w:val="21"/>
        </w:rPr>
        <w:t xml:space="preserve">10.  Reconcile at year-end.  </w:t>
      </w:r>
      <w:r>
        <w:rPr>
          <w:rFonts w:ascii="Aptos" w:hAnsi="Aptos"/>
          <w:b w:val="0"/>
          <w:i w:val="0"/>
          <w:color w:val="20282E"/>
          <w:sz w:val="19"/>
        </w:rPr>
        <w:t>Provide the complete file to the tax preparer, including Form 1099-Q. If total distributions exceed adjusted qualified expenses, part of the distributed earnings may be taxable and may also face a 10% additional federal tax unless an exception applies.</w:t>
      </w:r>
    </w:p>
    <w:p>
      <w:pPr>
        <w:pStyle w:val="Heading1"/>
      </w:pPr>
      <w:r>
        <w:t>Accountant and tax-preparer review checklist</w:t>
      </w:r>
    </w:p>
    <w:p>
      <w:pPr>
        <w:pStyle w:val="GuideBullet"/>
        <w:ind w:left="547" w:hanging="274"/>
        <w:numPr>
          <w:ilvl w:val="0"/>
          <w:numId w:val="10"/>
        </w:numPr>
      </w:pPr>
      <w:r>
        <w:rPr>
          <w:rFonts w:ascii="Aptos" w:hAnsi="Aptos"/>
          <w:b w:val="0"/>
          <w:i w:val="0"/>
          <w:color w:val="20282E"/>
          <w:sz w:val="21"/>
        </w:rPr>
        <w:t>Confirm the account owner, designated beneficiary, distribution recipient, distribution date, and amount.</w:t>
      </w:r>
    </w:p>
    <w:p>
      <w:pPr>
        <w:pStyle w:val="GuideBullet"/>
        <w:ind w:left="547" w:hanging="274"/>
        <w:numPr>
          <w:ilvl w:val="0"/>
          <w:numId w:val="10"/>
        </w:numPr>
      </w:pPr>
      <w:r>
        <w:rPr>
          <w:rFonts w:ascii="Aptos" w:hAnsi="Aptos"/>
          <w:b w:val="0"/>
          <w:i w:val="0"/>
          <w:color w:val="20282E"/>
          <w:sz w:val="21"/>
        </w:rPr>
        <w:t>Identify the claimed recognized postsecondary credential and the statutory category supporting it.</w:t>
      </w:r>
    </w:p>
    <w:p>
      <w:pPr>
        <w:pStyle w:val="GuideBullet"/>
        <w:ind w:left="547" w:hanging="274"/>
        <w:numPr>
          <w:ilvl w:val="0"/>
          <w:numId w:val="10"/>
        </w:numPr>
      </w:pPr>
      <w:r>
        <w:rPr>
          <w:rFonts w:ascii="Aptos" w:hAnsi="Aptos"/>
          <w:b w:val="0"/>
          <w:i w:val="0"/>
          <w:color w:val="20282E"/>
          <w:sz w:val="21"/>
        </w:rPr>
        <w:t>Confirm the specific recognized-program pathway under IRC Section 529(f)(2): state WIOA list, VA WEAMS, recognized examination pathway, or Treasury designation.</w:t>
      </w:r>
    </w:p>
    <w:p>
      <w:pPr>
        <w:pStyle w:val="GuideBullet"/>
        <w:ind w:left="547" w:hanging="274"/>
        <w:numPr>
          <w:ilvl w:val="0"/>
          <w:numId w:val="10"/>
        </w:numPr>
      </w:pPr>
      <w:r>
        <w:rPr>
          <w:rFonts w:ascii="Aptos" w:hAnsi="Aptos"/>
          <w:b w:val="0"/>
          <w:i w:val="0"/>
          <w:color w:val="20282E"/>
          <w:sz w:val="21"/>
        </w:rPr>
        <w:t>Verify that each claimed tuition, fee, book, supply, equipment, test, or continuing-education charge satisfies Section 529(f)(1).</w:t>
      </w:r>
    </w:p>
    <w:p>
      <w:pPr>
        <w:pStyle w:val="GuideBullet"/>
        <w:ind w:left="547" w:hanging="274"/>
        <w:numPr>
          <w:ilvl w:val="0"/>
          <w:numId w:val="10"/>
        </w:numPr>
      </w:pPr>
      <w:r>
        <w:rPr>
          <w:rFonts w:ascii="Aptos" w:hAnsi="Aptos"/>
          <w:b w:val="0"/>
          <w:i w:val="0"/>
          <w:color w:val="20282E"/>
          <w:sz w:val="21"/>
        </w:rPr>
        <w:t>Separate program-required aircraft/simulator charges from optional rental, general time-building, personal proficiency, or recreational flying.</w:t>
      </w:r>
    </w:p>
    <w:p>
      <w:pPr>
        <w:pStyle w:val="GuideBullet"/>
        <w:ind w:left="547" w:hanging="274"/>
        <w:numPr>
          <w:ilvl w:val="0"/>
          <w:numId w:val="10"/>
        </w:numPr>
      </w:pPr>
      <w:r>
        <w:rPr>
          <w:rFonts w:ascii="Aptos" w:hAnsi="Aptos"/>
          <w:b w:val="0"/>
          <w:i w:val="0"/>
          <w:color w:val="20282E"/>
          <w:sz w:val="21"/>
        </w:rPr>
        <w:t>Reconcile distributions against adjusted qualified education expenses paid during the tax year.</w:t>
      </w:r>
    </w:p>
    <w:p>
      <w:pPr>
        <w:pStyle w:val="GuideBullet"/>
        <w:ind w:left="547" w:hanging="274"/>
        <w:numPr>
          <w:ilvl w:val="0"/>
          <w:numId w:val="10"/>
        </w:numPr>
      </w:pPr>
      <w:r>
        <w:rPr>
          <w:rFonts w:ascii="Aptos" w:hAnsi="Aptos"/>
          <w:b w:val="0"/>
          <w:i w:val="0"/>
          <w:color w:val="20282E"/>
          <w:sz w:val="21"/>
        </w:rPr>
        <w:t>Subtract scholarships, grants, VA benefits, employer assistance, and other tax-free educational assistance.</w:t>
      </w:r>
    </w:p>
    <w:p>
      <w:pPr>
        <w:pStyle w:val="GuideBullet"/>
        <w:ind w:left="547" w:hanging="274"/>
        <w:numPr>
          <w:ilvl w:val="0"/>
          <w:numId w:val="10"/>
        </w:numPr>
      </w:pPr>
      <w:r>
        <w:rPr>
          <w:rFonts w:ascii="Aptos" w:hAnsi="Aptos"/>
          <w:b w:val="0"/>
          <w:i w:val="0"/>
          <w:color w:val="20282E"/>
          <w:sz w:val="21"/>
        </w:rPr>
        <w:t>Prevent double use of an expense for a tax-free 529 distribution and an American Opportunity or Lifetime Learning Credit.</w:t>
      </w:r>
    </w:p>
    <w:p>
      <w:pPr>
        <w:pStyle w:val="GuideBullet"/>
        <w:ind w:left="547" w:hanging="274"/>
        <w:numPr>
          <w:ilvl w:val="0"/>
          <w:numId w:val="10"/>
        </w:numPr>
      </w:pPr>
      <w:r>
        <w:rPr>
          <w:rFonts w:ascii="Aptos" w:hAnsi="Aptos"/>
          <w:b w:val="0"/>
          <w:i w:val="0"/>
          <w:color w:val="20282E"/>
          <w:sz w:val="21"/>
        </w:rPr>
        <w:t>Review all refunds and any 60-day recontributions.</w:t>
      </w:r>
    </w:p>
    <w:p>
      <w:pPr>
        <w:pStyle w:val="GuideBullet"/>
        <w:ind w:left="547" w:hanging="274"/>
        <w:numPr>
          <w:ilvl w:val="0"/>
          <w:numId w:val="10"/>
        </w:numPr>
      </w:pPr>
      <w:r>
        <w:rPr>
          <w:rFonts w:ascii="Aptos" w:hAnsi="Aptos"/>
          <w:b w:val="0"/>
          <w:i w:val="0"/>
          <w:color w:val="20282E"/>
          <w:sz w:val="21"/>
        </w:rPr>
        <w:t>Review Form 1099-Q, taxable earnings, any Form 5329 additional tax, and state conformity or recapture rules.</w:t>
      </w:r>
    </w:p>
    <w:p>
      <w:pPr>
        <w:pStyle w:val="Heading1"/>
      </w:pPr>
      <w:r>
        <w:t>Recommended records packet</w:t>
      </w:r>
    </w:p>
    <w:p>
      <w:pPr>
        <w:pStyle w:val="GuideBullet"/>
      </w:pPr>
      <w:r>
        <w:rPr>
          <w:rFonts w:ascii="Aptos" w:hAnsi="Aptos"/>
          <w:b/>
          <w:i w:val="0"/>
          <w:color w:val="C7922B"/>
          <w:sz w:val="20"/>
        </w:rPr>
        <w:t xml:space="preserve">☐  </w:t>
      </w:r>
      <w:r>
        <w:rPr>
          <w:rFonts w:ascii="Aptos" w:hAnsi="Aptos"/>
          <w:b w:val="0"/>
          <w:i w:val="0"/>
          <w:color w:val="20282E"/>
          <w:sz w:val="20"/>
        </w:rPr>
        <w:t>529 account statement and distribution confirmation</w:t>
      </w:r>
    </w:p>
    <w:p>
      <w:pPr>
        <w:pStyle w:val="GuideBullet"/>
      </w:pPr>
      <w:r>
        <w:rPr>
          <w:rFonts w:ascii="Aptos" w:hAnsi="Aptos"/>
          <w:b/>
          <w:i w:val="0"/>
          <w:color w:val="C7922B"/>
          <w:sz w:val="20"/>
        </w:rPr>
        <w:t xml:space="preserve">☐  </w:t>
      </w:r>
      <w:r>
        <w:rPr>
          <w:rFonts w:ascii="Aptos" w:hAnsi="Aptos"/>
          <w:b w:val="0"/>
          <w:i w:val="0"/>
          <w:color w:val="20282E"/>
          <w:sz w:val="20"/>
        </w:rPr>
        <w:t>Form 1099-Q</w:t>
      </w:r>
    </w:p>
    <w:p>
      <w:pPr>
        <w:pStyle w:val="GuideBullet"/>
      </w:pPr>
      <w:r>
        <w:rPr>
          <w:rFonts w:ascii="Aptos" w:hAnsi="Aptos"/>
          <w:b/>
          <w:i w:val="0"/>
          <w:color w:val="C7922B"/>
          <w:sz w:val="20"/>
        </w:rPr>
        <w:t xml:space="preserve">☐  </w:t>
      </w:r>
      <w:r>
        <w:rPr>
          <w:rFonts w:ascii="Aptos" w:hAnsi="Aptos"/>
          <w:b w:val="0"/>
          <w:i w:val="0"/>
          <w:color w:val="20282E"/>
          <w:sz w:val="20"/>
        </w:rPr>
        <w:t>FAA credential goal and applicable 14 CFR requirements</w:t>
      </w:r>
    </w:p>
    <w:p>
      <w:pPr>
        <w:pStyle w:val="GuideBullet"/>
      </w:pPr>
      <w:r>
        <w:rPr>
          <w:rFonts w:ascii="Aptos" w:hAnsi="Aptos"/>
          <w:b/>
          <w:i w:val="0"/>
          <w:color w:val="C7922B"/>
          <w:sz w:val="20"/>
        </w:rPr>
        <w:t xml:space="preserve">☐  </w:t>
      </w:r>
      <w:r>
        <w:rPr>
          <w:rFonts w:ascii="Aptos" w:hAnsi="Aptos"/>
          <w:b w:val="0"/>
          <w:i w:val="0"/>
          <w:color w:val="20282E"/>
          <w:sz w:val="20"/>
        </w:rPr>
        <w:t>Career-path statement, especially for Private Pilot training</w:t>
      </w:r>
    </w:p>
    <w:p>
      <w:pPr>
        <w:pStyle w:val="GuideBullet"/>
      </w:pPr>
      <w:r>
        <w:rPr>
          <w:rFonts w:ascii="Aptos" w:hAnsi="Aptos"/>
          <w:b/>
          <w:i w:val="0"/>
          <w:color w:val="C7922B"/>
          <w:sz w:val="20"/>
        </w:rPr>
        <w:t xml:space="preserve">☐  </w:t>
      </w:r>
      <w:r>
        <w:rPr>
          <w:rFonts w:ascii="Aptos" w:hAnsi="Aptos"/>
          <w:b w:val="0"/>
          <w:i w:val="0"/>
          <w:color w:val="20282E"/>
          <w:sz w:val="20"/>
        </w:rPr>
        <w:t>Program eligibility evidence (ETPL, WEAMS, exam-path recognition, or Treasury designation)</w:t>
      </w:r>
    </w:p>
    <w:p>
      <w:pPr>
        <w:pStyle w:val="GuideBullet"/>
      </w:pPr>
      <w:r>
        <w:rPr>
          <w:rFonts w:ascii="Aptos" w:hAnsi="Aptos"/>
          <w:b/>
          <w:i w:val="0"/>
          <w:color w:val="C7922B"/>
          <w:sz w:val="20"/>
        </w:rPr>
        <w:t xml:space="preserve">☐  </w:t>
      </w:r>
      <w:r>
        <w:rPr>
          <w:rFonts w:ascii="Aptos" w:hAnsi="Aptos"/>
          <w:b w:val="0"/>
          <w:i w:val="0"/>
          <w:color w:val="20282E"/>
          <w:sz w:val="20"/>
        </w:rPr>
        <w:t>Enrollment agreement, syllabus, itemized invoices, and payment receipts</w:t>
      </w:r>
    </w:p>
    <w:p>
      <w:pPr>
        <w:pStyle w:val="GuideBullet"/>
      </w:pPr>
      <w:r>
        <w:rPr>
          <w:rFonts w:ascii="Aptos" w:hAnsi="Aptos"/>
          <w:b/>
          <w:i w:val="0"/>
          <w:color w:val="C7922B"/>
          <w:sz w:val="20"/>
        </w:rPr>
        <w:t xml:space="preserve">☐  </w:t>
      </w:r>
      <w:r>
        <w:rPr>
          <w:rFonts w:ascii="Aptos" w:hAnsi="Aptos"/>
          <w:b w:val="0"/>
          <w:i w:val="0"/>
          <w:color w:val="20282E"/>
          <w:sz w:val="20"/>
        </w:rPr>
        <w:t>Flight/ground training records and instructor endorsements</w:t>
      </w:r>
    </w:p>
    <w:p>
      <w:pPr>
        <w:pStyle w:val="GuideBullet"/>
      </w:pPr>
      <w:r>
        <w:rPr>
          <w:rFonts w:ascii="Aptos" w:hAnsi="Aptos"/>
          <w:b/>
          <w:i w:val="0"/>
          <w:color w:val="C7922B"/>
          <w:sz w:val="20"/>
        </w:rPr>
        <w:t xml:space="preserve">☐  </w:t>
      </w:r>
      <w:r>
        <w:rPr>
          <w:rFonts w:ascii="Aptos" w:hAnsi="Aptos"/>
          <w:b w:val="0"/>
          <w:i w:val="0"/>
          <w:color w:val="20282E"/>
          <w:sz w:val="20"/>
        </w:rPr>
        <w:t>Knowledge-test and practical-test receipts</w:t>
      </w:r>
    </w:p>
    <w:p>
      <w:pPr>
        <w:pStyle w:val="GuideBullet"/>
      </w:pPr>
      <w:r>
        <w:rPr>
          <w:rFonts w:ascii="Aptos" w:hAnsi="Aptos"/>
          <w:b/>
          <w:i w:val="0"/>
          <w:color w:val="C7922B"/>
          <w:sz w:val="20"/>
        </w:rPr>
        <w:t xml:space="preserve">☐  </w:t>
      </w:r>
      <w:r>
        <w:rPr>
          <w:rFonts w:ascii="Aptos" w:hAnsi="Aptos"/>
          <w:b w:val="0"/>
          <w:i w:val="0"/>
          <w:color w:val="20282E"/>
          <w:sz w:val="20"/>
        </w:rPr>
        <w:t>List of tax-free scholarships, VA benefits, grants, employer assistance, and education credits</w:t>
      </w:r>
    </w:p>
    <w:p>
      <w:pPr>
        <w:pStyle w:val="GuideBullet"/>
      </w:pPr>
      <w:r>
        <w:rPr>
          <w:rFonts w:ascii="Aptos" w:hAnsi="Aptos"/>
          <w:b/>
          <w:i w:val="0"/>
          <w:color w:val="C7922B"/>
          <w:sz w:val="20"/>
        </w:rPr>
        <w:t xml:space="preserve">☐  </w:t>
      </w:r>
      <w:r>
        <w:rPr>
          <w:rFonts w:ascii="Aptos" w:hAnsi="Aptos"/>
          <w:b w:val="0"/>
          <w:i w:val="0"/>
          <w:color w:val="20282E"/>
          <w:sz w:val="20"/>
        </w:rPr>
        <w:t>Refund and recontribution records</w:t>
      </w:r>
    </w:p>
    <w:p>
      <w:r>
        <w:br w:type="page"/>
      </w:r>
    </w:p>
    <w:p>
      <w:pPr>
        <w:pStyle w:val="Heading1"/>
      </w:pPr>
      <w:r>
        <w:t>Questions to ask before requesting a distribution</w:t>
      </w:r>
    </w:p>
    <w:p>
      <w:pPr>
        <w:pStyle w:val="GuideBullet"/>
        <w:ind w:left="547" w:hanging="274"/>
        <w:numPr>
          <w:ilvl w:val="0"/>
          <w:numId w:val="10"/>
        </w:numPr>
      </w:pPr>
      <w:r>
        <w:rPr>
          <w:rFonts w:ascii="Aptos" w:hAnsi="Aptos"/>
          <w:b w:val="0"/>
          <w:i w:val="0"/>
          <w:color w:val="20282E"/>
          <w:sz w:val="21"/>
        </w:rPr>
        <w:t>Which FAA certificate or rating is the student pursuing, and is it occupational/professional or a required step toward one?</w:t>
      </w:r>
    </w:p>
    <w:p>
      <w:pPr>
        <w:pStyle w:val="GuideBullet"/>
        <w:ind w:left="547" w:hanging="274"/>
        <w:numPr>
          <w:ilvl w:val="0"/>
          <w:numId w:val="10"/>
        </w:numPr>
      </w:pPr>
      <w:r>
        <w:rPr>
          <w:rFonts w:ascii="Aptos" w:hAnsi="Aptos"/>
          <w:b w:val="0"/>
          <w:i w:val="0"/>
          <w:color w:val="20282E"/>
          <w:sz w:val="21"/>
        </w:rPr>
        <w:t>Which one of the four statutory program pathways applies to this exact flight-training program?</w:t>
      </w:r>
    </w:p>
    <w:p>
      <w:pPr>
        <w:pStyle w:val="GuideBullet"/>
        <w:ind w:left="547" w:hanging="274"/>
        <w:numPr>
          <w:ilvl w:val="0"/>
          <w:numId w:val="10"/>
        </w:numPr>
      </w:pPr>
      <w:r>
        <w:rPr>
          <w:rFonts w:ascii="Aptos" w:hAnsi="Aptos"/>
          <w:b w:val="0"/>
          <w:i w:val="0"/>
          <w:color w:val="20282E"/>
          <w:sz w:val="21"/>
        </w:rPr>
        <w:t>Which charges are required by the program, and which are optional or personal?</w:t>
      </w:r>
    </w:p>
    <w:p>
      <w:pPr>
        <w:pStyle w:val="GuideBullet"/>
        <w:ind w:left="547" w:hanging="274"/>
        <w:numPr>
          <w:ilvl w:val="0"/>
          <w:numId w:val="10"/>
        </w:numPr>
      </w:pPr>
      <w:r>
        <w:rPr>
          <w:rFonts w:ascii="Aptos" w:hAnsi="Aptos"/>
          <w:b w:val="0"/>
          <w:i w:val="0"/>
          <w:color w:val="20282E"/>
          <w:sz w:val="21"/>
        </w:rPr>
        <w:t>Does the 529 plan require payment to the beneficiary, account owner, or provider?</w:t>
      </w:r>
    </w:p>
    <w:p>
      <w:pPr>
        <w:pStyle w:val="GuideBullet"/>
        <w:ind w:left="547" w:hanging="274"/>
        <w:numPr>
          <w:ilvl w:val="0"/>
          <w:numId w:val="10"/>
        </w:numPr>
      </w:pPr>
      <w:r>
        <w:rPr>
          <w:rFonts w:ascii="Aptos" w:hAnsi="Aptos"/>
          <w:b w:val="0"/>
          <w:i w:val="0"/>
          <w:color w:val="20282E"/>
          <w:sz w:val="21"/>
        </w:rPr>
        <w:t>Will the distribution and the expense payment occur in the same tax year?</w:t>
      </w:r>
    </w:p>
    <w:p>
      <w:pPr>
        <w:pStyle w:val="GuideBullet"/>
        <w:ind w:left="547" w:hanging="274"/>
        <w:numPr>
          <w:ilvl w:val="0"/>
          <w:numId w:val="10"/>
        </w:numPr>
      </w:pPr>
      <w:r>
        <w:rPr>
          <w:rFonts w:ascii="Aptos" w:hAnsi="Aptos"/>
          <w:b w:val="0"/>
          <w:i w:val="0"/>
          <w:color w:val="20282E"/>
          <w:sz w:val="21"/>
        </w:rPr>
        <w:t>Is any part of the expense being paid with a scholarship, VA benefit, employer assistance, grant, or education credit?</w:t>
      </w:r>
    </w:p>
    <w:p>
      <w:pPr>
        <w:pStyle w:val="GuideBullet"/>
        <w:ind w:left="547" w:hanging="274"/>
        <w:numPr>
          <w:ilvl w:val="0"/>
          <w:numId w:val="10"/>
        </w:numPr>
      </w:pPr>
      <w:r>
        <w:rPr>
          <w:rFonts w:ascii="Aptos" w:hAnsi="Aptos"/>
          <w:b w:val="0"/>
          <w:i w:val="0"/>
          <w:color w:val="20282E"/>
          <w:sz w:val="21"/>
        </w:rPr>
        <w:t>What records will the tax preparer want before filing the return?</w:t>
      </w:r>
    </w:p>
    <w:p>
      <w:pPr>
        <w:pStyle w:val="GuideBullet"/>
        <w:ind w:left="547" w:hanging="274"/>
        <w:numPr>
          <w:ilvl w:val="0"/>
          <w:numId w:val="10"/>
        </w:numPr>
      </w:pPr>
      <w:r>
        <w:rPr>
          <w:rFonts w:ascii="Aptos" w:hAnsi="Aptos"/>
          <w:b w:val="0"/>
          <w:i w:val="0"/>
          <w:color w:val="20282E"/>
          <w:sz w:val="21"/>
        </w:rPr>
        <w:t>Does the taxpayer’s home state conform to the new federal treatment or impose recapture or other rules?</w:t>
      </w:r>
    </w:p>
    <w:p>
      <w:pPr>
        <w:pStyle w:val="Heading1"/>
      </w:pPr>
      <w:r>
        <w:t>Disclosure and professional-advice notice</w:t>
      </w:r>
    </w:p>
    <w:p>
      <w:pPr>
        <w:keepLines/>
        <w:spacing w:before="60" w:after="160" w:line="276" w:lineRule="auto"/>
        <w:shd w:fill="F8EAEA"/>
        <w:pBdr>
          <w:top w:val="single" w:sz="7" w:space="5" w:color="8D2B2B"/>
          <w:left w:val="single" w:sz="7" w:space="5" w:color="8D2B2B"/>
          <w:bottom w:val="single" w:sz="7" w:space="5" w:color="8D2B2B"/>
          <w:right w:val="single" w:sz="7" w:space="5" w:color="8D2B2B"/>
        </w:pBdr>
        <w:ind w:left="170" w:right="170"/>
      </w:pPr>
      <w:r>
        <w:rPr>
          <w:rFonts w:ascii="Aptos" w:hAnsi="Aptos"/>
          <w:b/>
          <w:i w:val="0"/>
          <w:color w:val="8D2B2B"/>
          <w:sz w:val="18"/>
        </w:rPr>
        <w:t>PLEASE READ BEFORE USING 529 FUNDS</w:t>
        <w:br/>
      </w:r>
      <w:r>
        <w:rPr>
          <w:rFonts w:ascii="Aptos" w:hAnsi="Aptos"/>
          <w:b w:val="0"/>
          <w:i w:val="0"/>
          <w:color w:val="20282E"/>
          <w:sz w:val="20"/>
        </w:rPr>
        <w:t>East Aviation is not a tax professional, law firm, accounting firm, investment adviser, financial adviser, or 529 plan administrator. East Aviation does not provide tax advice, legal advice, accounting advice, or investment advice, and nothing in this guide is a representation, warranty, or guarantee that any flight-training program or expense will qualify for federal or state tax treatment. Eligibility depends on the credential, the specific training program, the nature and timing of each expense, the 529 plan’s procedures, the taxpayer’s circumstances, and applicable federal and state law. Before contributing, withdrawing, or spending 529 funds, customers and account owners should consult their own qualified tax professional, attorney or legal expert, financial advisor, and 529 plan administrator. Customers remain solely responsible for substantiation, tax reporting, penalties, interest, recapture, and compliance.</w:t>
      </w:r>
    </w:p>
    <w:p>
      <w:pPr>
        <w:pStyle w:val="Heading1"/>
      </w:pPr>
      <w:r>
        <w:t>Verified federal sources</w:t>
      </w:r>
    </w:p>
    <w:p>
      <w:pPr>
        <w:pStyle w:val="GuideBullet"/>
        <w:numPr>
          <w:ilvl w:val="0"/>
          <w:numId w:val="10"/>
        </w:numPr>
      </w:pPr>
      <w:hyperlink r:id="rId12">
        <w:r>
          <w:rPr>
            <w:color w:val="1E5A7A"/>
            <w:u w:val="single"/>
            <w:rFonts w:ascii="Aptos" w:hAnsi="Aptos"/>
            <w:sz w:val="19"/>
          </w:rPr>
          <w:t>Public Law 119-21, enrolled H.R. 1, Section 70414 (GovInfo), pp. 147–149</w:t>
        </w:r>
      </w:hyperlink>
    </w:p>
    <w:p>
      <w:pPr>
        <w:pStyle w:val="GuideBullet"/>
        <w:numPr>
          <w:ilvl w:val="0"/>
          <w:numId w:val="10"/>
        </w:numPr>
      </w:pPr>
      <w:hyperlink r:id="rId13">
        <w:r>
          <w:rPr>
            <w:color w:val="1E5A7A"/>
            <w:u w:val="single"/>
            <w:rFonts w:ascii="Aptos" w:hAnsi="Aptos"/>
            <w:sz w:val="19"/>
          </w:rPr>
          <w:t>IRS Publication 970 (2025), Tax Benefits for Education — Qualified Tuition Programs</w:t>
        </w:r>
      </w:hyperlink>
    </w:p>
    <w:p>
      <w:pPr>
        <w:pStyle w:val="GuideBullet"/>
        <w:numPr>
          <w:ilvl w:val="0"/>
          <w:numId w:val="10"/>
        </w:numPr>
      </w:pPr>
      <w:hyperlink r:id="rId14">
        <w:r>
          <w:rPr>
            <w:color w:val="1E5A7A"/>
            <w:u w:val="single"/>
            <w:rFonts w:ascii="Aptos" w:hAnsi="Aptos"/>
            <w:sz w:val="19"/>
          </w:rPr>
          <w:t>IRS Topic No. 313, Qualified Tuition Programs</w:t>
        </w:r>
      </w:hyperlink>
    </w:p>
    <w:p>
      <w:pPr>
        <w:pStyle w:val="GuideBullet"/>
        <w:numPr>
          <w:ilvl w:val="0"/>
          <w:numId w:val="10"/>
        </w:numPr>
      </w:pPr>
      <w:hyperlink r:id="rId15">
        <w:r>
          <w:rPr>
            <w:color w:val="1E5A7A"/>
            <w:u w:val="single"/>
            <w:rFonts w:ascii="Aptos" w:hAnsi="Aptos"/>
            <w:sz w:val="19"/>
          </w:rPr>
          <w:t>14 CFR Part 61 — Certification: Pilots, Flight Instructors, and Ground Instructors</w:t>
        </w:r>
      </w:hyperlink>
    </w:p>
    <w:p>
      <w:pPr>
        <w:pStyle w:val="GuideBullet"/>
        <w:numPr>
          <w:ilvl w:val="0"/>
          <w:numId w:val="10"/>
        </w:numPr>
      </w:pPr>
      <w:hyperlink r:id="rId16">
        <w:r>
          <w:rPr>
            <w:color w:val="1E5A7A"/>
            <w:u w:val="single"/>
            <w:rFonts w:ascii="Aptos" w:hAnsi="Aptos"/>
            <w:sz w:val="19"/>
          </w:rPr>
          <w:t>14 CFR 61.103 — Private Pilot Eligibility Requirements</w:t>
        </w:r>
      </w:hyperlink>
    </w:p>
    <w:p>
      <w:pPr>
        <w:pStyle w:val="GuideBullet"/>
        <w:numPr>
          <w:ilvl w:val="0"/>
          <w:numId w:val="10"/>
        </w:numPr>
      </w:pPr>
      <w:hyperlink r:id="rId17">
        <w:r>
          <w:rPr>
            <w:color w:val="1E5A7A"/>
            <w:u w:val="single"/>
            <w:rFonts w:ascii="Aptos" w:hAnsi="Aptos"/>
            <w:sz w:val="19"/>
          </w:rPr>
          <w:t>14 CFR 61.123 — Commercial Pilot Eligibility Requirements</w:t>
        </w:r>
      </w:hyperlink>
    </w:p>
    <w:p>
      <w:pPr>
        <w:pStyle w:val="GuideBullet"/>
        <w:numPr>
          <w:ilvl w:val="0"/>
          <w:numId w:val="10"/>
        </w:numPr>
      </w:pPr>
      <w:hyperlink r:id="rId18">
        <w:r>
          <w:rPr>
            <w:color w:val="1E5A7A"/>
            <w:u w:val="single"/>
            <w:rFonts w:ascii="Aptos" w:hAnsi="Aptos"/>
            <w:sz w:val="19"/>
          </w:rPr>
          <w:t>14 CFR 61.65 — Instrument Rating Requirements</w:t>
        </w:r>
      </w:hyperlink>
    </w:p>
    <w:p>
      <w:pPr>
        <w:pStyle w:val="GuideBullet"/>
        <w:numPr>
          <w:ilvl w:val="0"/>
          <w:numId w:val="10"/>
        </w:numPr>
      </w:pPr>
      <w:hyperlink r:id="rId19">
        <w:r>
          <w:rPr>
            <w:color w:val="1E5A7A"/>
            <w:u w:val="single"/>
            <w:rFonts w:ascii="Aptos" w:hAnsi="Aptos"/>
            <w:sz w:val="19"/>
          </w:rPr>
          <w:t>FAA Airman Testing</w:t>
        </w:r>
      </w:hyperlink>
    </w:p>
    <w:p>
      <w:pPr>
        <w:pStyle w:val="GuideBullet"/>
        <w:numPr>
          <w:ilvl w:val="0"/>
          <w:numId w:val="10"/>
        </w:numPr>
      </w:pPr>
      <w:hyperlink r:id="rId20">
        <w:r>
          <w:rPr>
            <w:color w:val="1E5A7A"/>
            <w:u w:val="single"/>
            <w:rFonts w:ascii="Aptos" w:hAnsi="Aptos"/>
            <w:sz w:val="19"/>
          </w:rPr>
          <w:t>FAA Pilot Schools Information</w:t>
        </w:r>
      </w:hyperlink>
    </w:p>
    <w:p>
      <w:pPr>
        <w:pStyle w:val="GuideBullet"/>
        <w:numPr>
          <w:ilvl w:val="0"/>
          <w:numId w:val="10"/>
        </w:numPr>
      </w:pPr>
      <w:hyperlink r:id="rId21">
        <w:r>
          <w:rPr>
            <w:color w:val="1E5A7A"/>
            <w:u w:val="single"/>
            <w:rFonts w:ascii="Aptos" w:hAnsi="Aptos"/>
            <w:sz w:val="19"/>
          </w:rPr>
          <w:t>U.S. Department of Labor — Workforce Innovation and Opportunity Act</w:t>
        </w:r>
      </w:hyperlink>
    </w:p>
    <w:p>
      <w:pPr>
        <w:pStyle w:val="GuideBullet"/>
        <w:numPr>
          <w:ilvl w:val="0"/>
          <w:numId w:val="10"/>
        </w:numPr>
      </w:pPr>
      <w:hyperlink r:id="rId22">
        <w:r>
          <w:rPr>
            <w:color w:val="1E5A7A"/>
            <w:u w:val="single"/>
            <w:rFonts w:ascii="Aptos" w:hAnsi="Aptos"/>
            <w:sz w:val="19"/>
          </w:rPr>
          <w:t>VA School Program Approval / WEAMS information</w:t>
        </w:r>
      </w:hyperlink>
    </w:p>
    <w:p>
      <w:pPr>
        <w:spacing w:before="200" w:after="0"/>
        <w:jc w:val="center"/>
      </w:pPr>
      <w:r>
        <w:rPr>
          <w:rFonts w:ascii="Aptos" w:hAnsi="Aptos"/>
          <w:b/>
          <w:i w:val="0"/>
          <w:color w:val="13304A"/>
          <w:sz w:val="19"/>
        </w:rPr>
        <w:t>East Aviation  •  Flight training with a clear path and professional purpose</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b w:val="0"/>
        <w:i w:val="0"/>
        <w:color w:val="5A6770"/>
        <w:sz w:val="16"/>
      </w:rPr>
      <w:t>Customer information • Current as of August 2, 2026 • Consult your own professional advisors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rPr>
        <w:rFonts w:ascii="Aptos" w:hAnsi="Aptos"/>
        <w:b/>
        <w:i w:val="0"/>
        <w:color w:val="13304A"/>
        <w:sz w:val="17"/>
      </w:rPr>
      <w:t>EAST AVIATION</w:t>
    </w:r>
    <w:r>
      <w:rPr>
        <w:rFonts w:ascii="Aptos" w:hAnsi="Aptos"/>
        <w:b w:val="0"/>
        <w:i w:val="0"/>
        <w:color w:val="5A6770"/>
        <w:sz w:val="17"/>
      </w:rPr>
      <w:t xml:space="preserve">   |   529 FLIGHT-TRAINING GUIDE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70"/>
        <w:spacing w:after="80" w:line="300" w:lineRule="auto"/>
      </w:pPr>
      <w:rPr>
        <w:color w:val="C7922B"/>
      </w:r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3" w:lineRule="auto"/>
    </w:pPr>
    <w:rPr>
      <w:rFonts w:ascii="Aptos" w:hAnsi="Aptos"/>
      <w:color w:val="20282E"/>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40"/>
      <w:outlineLvl w:val="0"/>
    </w:pPr>
    <w:rPr>
      <w:rFonts w:asciiTheme="majorHAnsi" w:eastAsiaTheme="majorEastAsia" w:hAnsiTheme="majorHAnsi" w:cstheme="majorBidi" w:ascii="Aptos Display" w:hAnsi="Aptos Display"/>
      <w:b/>
      <w:bCs/>
      <w:color w:val="13304A"/>
      <w:sz w:val="34"/>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1E5A7A"/>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Display" w:hAnsi="Aptos Display"/>
      <w:b/>
      <w:bCs/>
      <w:color w:val="13304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40" w:lineRule="auto" w:before="0"/>
      <w:contextualSpacing/>
    </w:pPr>
    <w:rPr>
      <w:rFonts w:asciiTheme="majorHAnsi" w:eastAsiaTheme="majorEastAsia" w:hAnsiTheme="majorHAnsi" w:cstheme="majorBidi" w:ascii="Aptos Display" w:hAnsi="Aptos Display"/>
      <w:b/>
      <w:color w:val="13304A"/>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GuideBullet">
    <w:name w:val="Guide Bullet"/>
    <w:basedOn w:val="Normal"/>
    <w:pPr>
      <w:spacing w:after="80" w:line="283" w:lineRule="auto"/>
      <w:ind w:left="547" w:hanging="274"/>
    </w:pPr>
  </w:style>
  <w:style w:type="paragraph" w:customStyle="1" w:styleId="GuideNumber">
    <w:name w:val="Guide Number"/>
    <w:basedOn w:val="Normal"/>
    <w:pPr>
      <w:spacing w:after="80" w:line="283" w:lineRule="auto"/>
      <w:ind w:left="547" w:hanging="274"/>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govinfo.gov/content/pkg/BILLS-119hr1enr/pdf/BILLS-119hr1enr.pdf" TargetMode="External"/><Relationship Id="rId13" Type="http://schemas.openxmlformats.org/officeDocument/2006/relationships/hyperlink" Target="https://www.irs.gov/publications/p970" TargetMode="External"/><Relationship Id="rId14" Type="http://schemas.openxmlformats.org/officeDocument/2006/relationships/hyperlink" Target="https://www.irs.gov/taxtopics/tc313" TargetMode="External"/><Relationship Id="rId15" Type="http://schemas.openxmlformats.org/officeDocument/2006/relationships/hyperlink" Target="https://www.ecfr.gov/current/title-14/chapter-I/subchapter-D/part-61" TargetMode="External"/><Relationship Id="rId16" Type="http://schemas.openxmlformats.org/officeDocument/2006/relationships/hyperlink" Target="https://www.ecfr.gov/current/title-14/chapter-I/subchapter-D/part-61/subpart-E/section-61.103" TargetMode="External"/><Relationship Id="rId17" Type="http://schemas.openxmlformats.org/officeDocument/2006/relationships/hyperlink" Target="https://www.ecfr.gov/current/title-14/chapter-I/subchapter-D/part-61/subpart-F/section-61.123" TargetMode="External"/><Relationship Id="rId18" Type="http://schemas.openxmlformats.org/officeDocument/2006/relationships/hyperlink" Target="https://www.ecfr.gov/current/title-14/chapter-I/subchapter-D/part-61/subpart-B/section-61.65" TargetMode="External"/><Relationship Id="rId19" Type="http://schemas.openxmlformats.org/officeDocument/2006/relationships/hyperlink" Target="https://www.faa.gov/training_testing/testing" TargetMode="External"/><Relationship Id="rId20" Type="http://schemas.openxmlformats.org/officeDocument/2006/relationships/hyperlink" Target="https://www.faa.gov/training_testing/training/pilot_schools" TargetMode="External"/><Relationship Id="rId21" Type="http://schemas.openxmlformats.org/officeDocument/2006/relationships/hyperlink" Target="https://www.dol.gov/agencies/eta/wioa" TargetMode="External"/><Relationship Id="rId22" Type="http://schemas.openxmlformats.org/officeDocument/2006/relationships/hyperlink" Target="https://www.benefits.va.gov/GIBILL/school_program_approval.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529 Account Funds for Flight Training</dc:title>
  <dc:subject>Customer guide to Section 529 postsecondary credentialing expenses and FAA flight training</dc:subject>
  <dc:creator/>
  <cp:keywords>529, flight training, FAA, Public Law 119-21, Section 70414</cp:keywords>
  <dc:description>generated by python-docx</dc:description>
  <cp:lastModifiedBy/>
  <cp:revision>1</cp:revision>
  <dcterms:created xsi:type="dcterms:W3CDTF">2013-12-23T23:15:00Z</dcterms:created>
  <dcterms:modified xsi:type="dcterms:W3CDTF">2013-12-23T23:15:00Z</dcterms:modified>
  <cp:category/>
</cp:coreProperties>
</file>